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E9E" w:rsidRDefault="005E0E9E">
      <w:pPr>
        <w:jc w:val="center"/>
        <w:rPr>
          <w:sz w:val="22"/>
          <w:szCs w:val="22"/>
        </w:rPr>
      </w:pPr>
      <w:bookmarkStart w:id="0" w:name="_heading=h.gjdgxs" w:colFirst="0" w:colLast="0"/>
      <w:bookmarkStart w:id="1" w:name="_GoBack"/>
      <w:bookmarkEnd w:id="0"/>
      <w:bookmarkEnd w:id="1"/>
    </w:p>
    <w:p w:rsidR="005E0E9E" w:rsidRDefault="007F523F">
      <w:pPr>
        <w:jc w:val="center"/>
        <w:rPr>
          <w:b/>
          <w:sz w:val="22"/>
          <w:szCs w:val="22"/>
        </w:rPr>
      </w:pPr>
      <w:r>
        <w:rPr>
          <w:b/>
          <w:sz w:val="22"/>
          <w:szCs w:val="22"/>
        </w:rPr>
        <w:t>PONENCIA PROYECTO DE ACUERDO No.051 DE 2025</w:t>
      </w:r>
    </w:p>
    <w:p w:rsidR="005E0E9E" w:rsidRDefault="005E0E9E">
      <w:pPr>
        <w:jc w:val="center"/>
        <w:rPr>
          <w:sz w:val="22"/>
          <w:szCs w:val="22"/>
        </w:rPr>
      </w:pPr>
    </w:p>
    <w:p w:rsidR="005E0E9E" w:rsidRDefault="005E0E9E">
      <w:pPr>
        <w:rPr>
          <w:sz w:val="22"/>
          <w:szCs w:val="22"/>
        </w:rPr>
      </w:pPr>
    </w:p>
    <w:p w:rsidR="005E0E9E" w:rsidRDefault="005E0E9E">
      <w:pPr>
        <w:rPr>
          <w:sz w:val="22"/>
          <w:szCs w:val="22"/>
        </w:rPr>
      </w:pPr>
    </w:p>
    <w:p w:rsidR="005E0E9E" w:rsidRDefault="007F523F">
      <w:pPr>
        <w:rPr>
          <w:sz w:val="22"/>
          <w:szCs w:val="22"/>
        </w:rPr>
      </w:pPr>
      <w:r>
        <w:rPr>
          <w:b/>
          <w:sz w:val="22"/>
          <w:szCs w:val="22"/>
        </w:rPr>
        <w:t>PARA:</w:t>
      </w:r>
      <w:r>
        <w:rPr>
          <w:sz w:val="22"/>
          <w:szCs w:val="22"/>
        </w:rPr>
        <w:t xml:space="preserve">  DR. DAVID ANTONIO GARZÓN FANDIÑO</w:t>
      </w:r>
    </w:p>
    <w:p w:rsidR="005E0E9E" w:rsidRDefault="007F523F">
      <w:pPr>
        <w:ind w:firstLine="720"/>
        <w:rPr>
          <w:sz w:val="22"/>
          <w:szCs w:val="22"/>
        </w:rPr>
      </w:pPr>
      <w:r>
        <w:rPr>
          <w:sz w:val="22"/>
          <w:szCs w:val="22"/>
        </w:rPr>
        <w:t xml:space="preserve">SUBSECRETARIO COMISIÓN DE GOBIERNO </w:t>
      </w:r>
    </w:p>
    <w:p w:rsidR="005E0E9E" w:rsidRDefault="005E0E9E">
      <w:pPr>
        <w:jc w:val="center"/>
        <w:rPr>
          <w:sz w:val="22"/>
          <w:szCs w:val="22"/>
        </w:rPr>
      </w:pPr>
    </w:p>
    <w:p w:rsidR="005E0E9E" w:rsidRDefault="005E0E9E">
      <w:pPr>
        <w:rPr>
          <w:sz w:val="22"/>
          <w:szCs w:val="22"/>
        </w:rPr>
      </w:pPr>
    </w:p>
    <w:p w:rsidR="005E0E9E" w:rsidRDefault="007F523F">
      <w:pPr>
        <w:rPr>
          <w:sz w:val="22"/>
          <w:szCs w:val="22"/>
        </w:rPr>
      </w:pPr>
      <w:r>
        <w:rPr>
          <w:b/>
          <w:sz w:val="22"/>
          <w:szCs w:val="22"/>
        </w:rPr>
        <w:t>DE:</w:t>
      </w:r>
      <w:r>
        <w:rPr>
          <w:sz w:val="22"/>
          <w:szCs w:val="22"/>
        </w:rPr>
        <w:t xml:space="preserve">  H.C JULIÁN RODRÍGUEZ SASTOQUE, COORDINADOR PONENTE</w:t>
      </w:r>
    </w:p>
    <w:p w:rsidR="005E0E9E" w:rsidRDefault="007F523F">
      <w:pPr>
        <w:rPr>
          <w:sz w:val="22"/>
          <w:szCs w:val="22"/>
        </w:rPr>
      </w:pPr>
      <w:r>
        <w:rPr>
          <w:sz w:val="22"/>
          <w:szCs w:val="22"/>
        </w:rPr>
        <w:t xml:space="preserve">         H.C. ROCÍO DUSSÁN PÉREZ, PONENTE</w:t>
      </w:r>
    </w:p>
    <w:p w:rsidR="005E0E9E" w:rsidRDefault="005E0E9E">
      <w:pPr>
        <w:jc w:val="center"/>
        <w:rPr>
          <w:sz w:val="22"/>
          <w:szCs w:val="22"/>
        </w:rPr>
      </w:pPr>
    </w:p>
    <w:p w:rsidR="005E0E9E" w:rsidRDefault="005E0E9E">
      <w:pPr>
        <w:rPr>
          <w:sz w:val="22"/>
          <w:szCs w:val="22"/>
        </w:rPr>
      </w:pPr>
    </w:p>
    <w:p w:rsidR="005E0E9E" w:rsidRDefault="007F523F">
      <w:pPr>
        <w:rPr>
          <w:sz w:val="22"/>
          <w:szCs w:val="22"/>
        </w:rPr>
      </w:pPr>
      <w:r>
        <w:rPr>
          <w:b/>
          <w:sz w:val="22"/>
          <w:szCs w:val="22"/>
        </w:rPr>
        <w:t>REFERENCIA</w:t>
      </w:r>
      <w:r>
        <w:rPr>
          <w:sz w:val="22"/>
          <w:szCs w:val="22"/>
        </w:rPr>
        <w:t>: Ponencia al Proyecto de Acuerdo No. 051 de 2025</w:t>
      </w:r>
    </w:p>
    <w:p w:rsidR="005E0E9E" w:rsidRDefault="005E0E9E">
      <w:pPr>
        <w:jc w:val="center"/>
        <w:rPr>
          <w:sz w:val="22"/>
          <w:szCs w:val="22"/>
        </w:rPr>
      </w:pPr>
    </w:p>
    <w:p w:rsidR="005E0E9E" w:rsidRDefault="005E0E9E">
      <w:pPr>
        <w:rPr>
          <w:sz w:val="22"/>
          <w:szCs w:val="22"/>
        </w:rPr>
      </w:pPr>
    </w:p>
    <w:p w:rsidR="005E0E9E" w:rsidRDefault="007F523F">
      <w:pPr>
        <w:rPr>
          <w:sz w:val="22"/>
          <w:szCs w:val="22"/>
        </w:rPr>
      </w:pPr>
      <w:r>
        <w:rPr>
          <w:sz w:val="22"/>
          <w:szCs w:val="22"/>
        </w:rPr>
        <w:t>Respetado Subsecretario:</w:t>
      </w:r>
    </w:p>
    <w:p w:rsidR="005E0E9E" w:rsidRDefault="005E0E9E">
      <w:pPr>
        <w:rPr>
          <w:sz w:val="22"/>
          <w:szCs w:val="22"/>
        </w:rPr>
      </w:pPr>
    </w:p>
    <w:p w:rsidR="005E0E9E" w:rsidRDefault="005E0E9E">
      <w:pPr>
        <w:rPr>
          <w:sz w:val="22"/>
          <w:szCs w:val="22"/>
        </w:rPr>
      </w:pPr>
    </w:p>
    <w:p w:rsidR="005E0E9E" w:rsidRDefault="005E0E9E">
      <w:pPr>
        <w:jc w:val="both"/>
        <w:rPr>
          <w:sz w:val="22"/>
          <w:szCs w:val="22"/>
        </w:rPr>
      </w:pPr>
    </w:p>
    <w:p w:rsidR="005E0E9E" w:rsidRDefault="007F523F">
      <w:pPr>
        <w:tabs>
          <w:tab w:val="left" w:pos="8789"/>
        </w:tabs>
        <w:jc w:val="both"/>
        <w:rPr>
          <w:sz w:val="22"/>
          <w:szCs w:val="22"/>
        </w:rPr>
      </w:pPr>
      <w:bookmarkStart w:id="2" w:name="_heading=h.1fob9te" w:colFirst="0" w:colLast="0"/>
      <w:bookmarkEnd w:id="2"/>
      <w:r>
        <w:rPr>
          <w:sz w:val="22"/>
          <w:szCs w:val="22"/>
        </w:rPr>
        <w:t xml:space="preserve">Atendiendo a la designación efectuada por la Mesa Directiva del Concejo de Bogotá, y estando dentro del término reglamentario, me permito rendir </w:t>
      </w:r>
      <w:r>
        <w:rPr>
          <w:b/>
          <w:sz w:val="22"/>
          <w:szCs w:val="22"/>
        </w:rPr>
        <w:t>Ponencia positiva conjunta</w:t>
      </w:r>
      <w:r>
        <w:rPr>
          <w:sz w:val="22"/>
          <w:szCs w:val="22"/>
        </w:rPr>
        <w:t xml:space="preserve"> con </w:t>
      </w:r>
      <w:r>
        <w:rPr>
          <w:sz w:val="22"/>
          <w:szCs w:val="22"/>
        </w:rPr>
        <w:t xml:space="preserve">modificaciones para primer debate al PROYECTO DE ACUERDO No. 051 DE 2025 </w:t>
      </w:r>
      <w:r>
        <w:rPr>
          <w:b/>
          <w:sz w:val="22"/>
          <w:szCs w:val="22"/>
        </w:rPr>
        <w:t>“POR MEDIO DEL CUAL SE IMPULSA LA ESTRATEGIA PARA LA DISMINUCIÓN DE RIÑAS, PELEAS, ALTERCADOS O DISPUTAS VIOLENTAS EN LA CIUDAD DE BOGOTÁ D.C.”</w:t>
      </w:r>
    </w:p>
    <w:p w:rsidR="005E0E9E" w:rsidRDefault="005E0E9E">
      <w:pPr>
        <w:jc w:val="center"/>
        <w:rPr>
          <w:sz w:val="22"/>
          <w:szCs w:val="22"/>
        </w:rPr>
      </w:pPr>
    </w:p>
    <w:p w:rsidR="005E0E9E" w:rsidRDefault="005E0E9E">
      <w:pPr>
        <w:rPr>
          <w:sz w:val="22"/>
          <w:szCs w:val="22"/>
        </w:rPr>
      </w:pPr>
    </w:p>
    <w:p w:rsidR="005E0E9E" w:rsidRDefault="005E0E9E">
      <w:pPr>
        <w:rPr>
          <w:sz w:val="22"/>
          <w:szCs w:val="22"/>
        </w:rPr>
      </w:pPr>
    </w:p>
    <w:p w:rsidR="005E0E9E" w:rsidRDefault="005E0E9E">
      <w:pPr>
        <w:rPr>
          <w:sz w:val="22"/>
          <w:szCs w:val="22"/>
        </w:rPr>
      </w:pPr>
    </w:p>
    <w:p w:rsidR="005E0E9E" w:rsidRDefault="005E0E9E">
      <w:pPr>
        <w:rPr>
          <w:sz w:val="22"/>
          <w:szCs w:val="22"/>
        </w:rPr>
      </w:pPr>
    </w:p>
    <w:p w:rsidR="005E0E9E" w:rsidRDefault="007F523F">
      <w:pPr>
        <w:rPr>
          <w:sz w:val="22"/>
          <w:szCs w:val="22"/>
        </w:rPr>
      </w:pPr>
      <w:r>
        <w:rPr>
          <w:sz w:val="22"/>
          <w:szCs w:val="22"/>
        </w:rPr>
        <w:t>Cordialmente,</w:t>
      </w:r>
    </w:p>
    <w:p w:rsidR="005E0E9E" w:rsidRDefault="005E0E9E">
      <w:pPr>
        <w:jc w:val="center"/>
        <w:rPr>
          <w:sz w:val="22"/>
          <w:szCs w:val="22"/>
        </w:rPr>
      </w:pPr>
    </w:p>
    <w:p w:rsidR="005E0E9E" w:rsidRDefault="005E0E9E">
      <w:pPr>
        <w:jc w:val="center"/>
        <w:rPr>
          <w:sz w:val="22"/>
          <w:szCs w:val="22"/>
        </w:rPr>
      </w:pPr>
    </w:p>
    <w:p w:rsidR="005E0E9E" w:rsidRDefault="005E0E9E">
      <w:pPr>
        <w:jc w:val="center"/>
        <w:rPr>
          <w:sz w:val="22"/>
          <w:szCs w:val="22"/>
        </w:rPr>
      </w:pPr>
    </w:p>
    <w:p w:rsidR="005E0E9E" w:rsidRDefault="005E0E9E">
      <w:pPr>
        <w:rPr>
          <w:sz w:val="22"/>
          <w:szCs w:val="22"/>
        </w:rPr>
      </w:pPr>
    </w:p>
    <w:p w:rsidR="005E0E9E" w:rsidRDefault="005E0E9E">
      <w:pPr>
        <w:jc w:val="center"/>
        <w:rPr>
          <w:sz w:val="22"/>
          <w:szCs w:val="22"/>
        </w:rPr>
      </w:pPr>
    </w:p>
    <w:p w:rsidR="005E0E9E" w:rsidRDefault="007F523F">
      <w:pPr>
        <w:rPr>
          <w:b/>
          <w:sz w:val="22"/>
          <w:szCs w:val="22"/>
        </w:rPr>
      </w:pPr>
      <w:r>
        <w:rPr>
          <w:b/>
          <w:sz w:val="22"/>
          <w:szCs w:val="22"/>
        </w:rPr>
        <w:t>JULIÁN RODRÍGUEZ SASTOQUE</w:t>
      </w:r>
      <w:r>
        <w:rPr>
          <w:b/>
          <w:sz w:val="22"/>
          <w:szCs w:val="22"/>
        </w:rPr>
        <w:tab/>
      </w:r>
      <w:r>
        <w:rPr>
          <w:b/>
          <w:sz w:val="22"/>
          <w:szCs w:val="22"/>
        </w:rPr>
        <w:tab/>
      </w:r>
      <w:r>
        <w:rPr>
          <w:b/>
          <w:sz w:val="22"/>
          <w:szCs w:val="22"/>
        </w:rPr>
        <w:tab/>
        <w:t>ROCÍO DUSSÁN PÉREZ</w:t>
      </w:r>
    </w:p>
    <w:p w:rsidR="005E0E9E" w:rsidRDefault="007F523F">
      <w:pPr>
        <w:rPr>
          <w:sz w:val="22"/>
          <w:szCs w:val="22"/>
        </w:rPr>
      </w:pPr>
      <w:r>
        <w:rPr>
          <w:sz w:val="22"/>
          <w:szCs w:val="22"/>
        </w:rPr>
        <w:t>Concejal de Bogotá</w:t>
      </w:r>
      <w:r>
        <w:rPr>
          <w:sz w:val="22"/>
          <w:szCs w:val="22"/>
        </w:rPr>
        <w:tab/>
      </w:r>
      <w:r>
        <w:rPr>
          <w:sz w:val="22"/>
          <w:szCs w:val="22"/>
        </w:rPr>
        <w:tab/>
      </w:r>
      <w:r>
        <w:rPr>
          <w:sz w:val="22"/>
          <w:szCs w:val="22"/>
        </w:rPr>
        <w:tab/>
      </w:r>
      <w:r>
        <w:rPr>
          <w:sz w:val="22"/>
          <w:szCs w:val="22"/>
        </w:rPr>
        <w:tab/>
      </w:r>
      <w:r>
        <w:rPr>
          <w:sz w:val="22"/>
          <w:szCs w:val="22"/>
        </w:rPr>
        <w:tab/>
        <w:t>Concejal de Bogotá</w:t>
      </w:r>
      <w:r>
        <w:rPr>
          <w:sz w:val="22"/>
          <w:szCs w:val="22"/>
        </w:rPr>
        <w:tab/>
      </w:r>
      <w:r>
        <w:rPr>
          <w:sz w:val="22"/>
          <w:szCs w:val="22"/>
        </w:rPr>
        <w:tab/>
      </w:r>
    </w:p>
    <w:p w:rsidR="005E0E9E" w:rsidRDefault="007F523F">
      <w:pPr>
        <w:rPr>
          <w:sz w:val="22"/>
          <w:szCs w:val="22"/>
        </w:rPr>
      </w:pPr>
      <w:r>
        <w:rPr>
          <w:sz w:val="22"/>
          <w:szCs w:val="22"/>
        </w:rPr>
        <w:t>Coordinador Ponente</w:t>
      </w:r>
      <w:r>
        <w:rPr>
          <w:sz w:val="22"/>
          <w:szCs w:val="22"/>
        </w:rPr>
        <w:tab/>
      </w:r>
      <w:r>
        <w:rPr>
          <w:sz w:val="22"/>
          <w:szCs w:val="22"/>
        </w:rPr>
        <w:tab/>
      </w:r>
      <w:r>
        <w:rPr>
          <w:sz w:val="22"/>
          <w:szCs w:val="22"/>
        </w:rPr>
        <w:tab/>
      </w:r>
      <w:r>
        <w:rPr>
          <w:sz w:val="22"/>
          <w:szCs w:val="22"/>
        </w:rPr>
        <w:tab/>
      </w:r>
      <w:r>
        <w:rPr>
          <w:sz w:val="22"/>
          <w:szCs w:val="22"/>
        </w:rPr>
        <w:tab/>
        <w:t xml:space="preserve">Ponente </w:t>
      </w:r>
    </w:p>
    <w:p w:rsidR="005E0E9E" w:rsidRDefault="005E0E9E">
      <w:pPr>
        <w:rPr>
          <w:sz w:val="22"/>
          <w:szCs w:val="22"/>
        </w:rPr>
      </w:pPr>
    </w:p>
    <w:p w:rsidR="005E0E9E" w:rsidRDefault="007F523F">
      <w:pPr>
        <w:spacing w:line="200" w:lineRule="auto"/>
        <w:rPr>
          <w:sz w:val="16"/>
          <w:szCs w:val="16"/>
        </w:rPr>
      </w:pPr>
      <w:r>
        <w:rPr>
          <w:sz w:val="16"/>
          <w:szCs w:val="16"/>
        </w:rPr>
        <w:t>Anexos: Ponencia en (17) folios en PDF e igual número de folios en Word.</w:t>
      </w:r>
    </w:p>
    <w:p w:rsidR="005E0E9E" w:rsidRDefault="007F523F">
      <w:pPr>
        <w:spacing w:line="200" w:lineRule="auto"/>
        <w:rPr>
          <w:sz w:val="16"/>
          <w:szCs w:val="16"/>
        </w:rPr>
      </w:pPr>
      <w:r>
        <w:rPr>
          <w:sz w:val="16"/>
          <w:szCs w:val="16"/>
        </w:rPr>
        <w:t>Copia: N/A</w:t>
      </w:r>
    </w:p>
    <w:p w:rsidR="005E0E9E" w:rsidRDefault="007F523F">
      <w:pPr>
        <w:spacing w:line="200" w:lineRule="auto"/>
        <w:rPr>
          <w:sz w:val="16"/>
          <w:szCs w:val="16"/>
        </w:rPr>
      </w:pPr>
      <w:r>
        <w:rPr>
          <w:sz w:val="16"/>
          <w:szCs w:val="16"/>
        </w:rPr>
        <w:t>Elaboró: Santiago Rincón, David Diaz</w:t>
      </w:r>
    </w:p>
    <w:p w:rsidR="005E0E9E" w:rsidRDefault="007F523F">
      <w:pPr>
        <w:spacing w:line="200" w:lineRule="auto"/>
        <w:rPr>
          <w:sz w:val="16"/>
          <w:szCs w:val="16"/>
        </w:rPr>
      </w:pPr>
      <w:r>
        <w:rPr>
          <w:sz w:val="16"/>
          <w:szCs w:val="16"/>
        </w:rPr>
        <w:t>Revisó: N/</w:t>
      </w:r>
      <w:r>
        <w:rPr>
          <w:sz w:val="16"/>
          <w:szCs w:val="16"/>
        </w:rPr>
        <w:t>A</w:t>
      </w:r>
    </w:p>
    <w:p w:rsidR="005E0E9E" w:rsidRDefault="005E0E9E">
      <w:pPr>
        <w:rPr>
          <w:sz w:val="22"/>
          <w:szCs w:val="22"/>
        </w:rPr>
      </w:pPr>
    </w:p>
    <w:p w:rsidR="005E0E9E" w:rsidRDefault="007F523F">
      <w:pPr>
        <w:jc w:val="center"/>
        <w:rPr>
          <w:b/>
          <w:sz w:val="22"/>
          <w:szCs w:val="22"/>
        </w:rPr>
      </w:pPr>
      <w:r>
        <w:rPr>
          <w:b/>
          <w:sz w:val="22"/>
          <w:szCs w:val="22"/>
        </w:rPr>
        <w:t>1. OBJETO DEL PROYECTO DE ACUERDO</w:t>
      </w:r>
    </w:p>
    <w:p w:rsidR="005E0E9E" w:rsidRDefault="005E0E9E">
      <w:pPr>
        <w:jc w:val="center"/>
        <w:rPr>
          <w:sz w:val="22"/>
          <w:szCs w:val="22"/>
        </w:rPr>
      </w:pPr>
    </w:p>
    <w:p w:rsidR="005E0E9E" w:rsidRDefault="007F523F">
      <w:pPr>
        <w:jc w:val="both"/>
        <w:rPr>
          <w:sz w:val="22"/>
          <w:szCs w:val="22"/>
        </w:rPr>
      </w:pPr>
      <w:r>
        <w:rPr>
          <w:sz w:val="22"/>
          <w:szCs w:val="22"/>
        </w:rPr>
        <w:t>El presente Proyecto de Acuerdo tiene como objeto dictar los lineamientos para establecer una estrategia integral que prevenga y atienda la ocurrencia de riñas o disputas violentas en Bogotá con el fin de mejorar la co</w:t>
      </w:r>
      <w:r>
        <w:rPr>
          <w:sz w:val="22"/>
          <w:szCs w:val="22"/>
        </w:rPr>
        <w:t xml:space="preserve">nvivencia, proteger la vida de los habitantes y posicionar a la ciudad como un referente en la prevención de las conductas violentas en Colombia. </w:t>
      </w:r>
    </w:p>
    <w:p w:rsidR="005E0E9E" w:rsidRDefault="005E0E9E">
      <w:pPr>
        <w:jc w:val="both"/>
        <w:rPr>
          <w:sz w:val="22"/>
          <w:szCs w:val="22"/>
        </w:rPr>
      </w:pPr>
    </w:p>
    <w:p w:rsidR="005E0E9E" w:rsidRDefault="007F523F">
      <w:pPr>
        <w:jc w:val="both"/>
        <w:rPr>
          <w:sz w:val="22"/>
          <w:szCs w:val="22"/>
        </w:rPr>
      </w:pPr>
      <w:r>
        <w:rPr>
          <w:sz w:val="22"/>
          <w:szCs w:val="22"/>
        </w:rPr>
        <w:t xml:space="preserve">Lo anterior, teniendo en cuenta el considerable número de riñas que se presentan en la capital, así como la </w:t>
      </w:r>
      <w:r>
        <w:rPr>
          <w:sz w:val="22"/>
          <w:szCs w:val="22"/>
        </w:rPr>
        <w:t>incidencia que podría tener la implementación permanente de una estrategia que reduzca los comportamientos contrarios a la convivencia, también la conformación permanente del Escuadrón Anti-Riñas, como una medida por medio de la cual se realicen jornadas p</w:t>
      </w:r>
      <w:r>
        <w:rPr>
          <w:sz w:val="22"/>
          <w:szCs w:val="22"/>
        </w:rPr>
        <w:t>edagógicas y patrullaje en zonas identificadas por el alto consumo de licor y otros espacios  susceptibles de este tipo de comportamientos.</w:t>
      </w:r>
    </w:p>
    <w:p w:rsidR="005E0E9E" w:rsidRDefault="005E0E9E">
      <w:pPr>
        <w:jc w:val="both"/>
        <w:rPr>
          <w:sz w:val="22"/>
          <w:szCs w:val="22"/>
        </w:rPr>
      </w:pPr>
    </w:p>
    <w:p w:rsidR="005E0E9E" w:rsidRDefault="007F523F">
      <w:pPr>
        <w:jc w:val="center"/>
        <w:rPr>
          <w:b/>
          <w:sz w:val="22"/>
          <w:szCs w:val="22"/>
        </w:rPr>
      </w:pPr>
      <w:r>
        <w:rPr>
          <w:b/>
          <w:sz w:val="22"/>
          <w:szCs w:val="22"/>
        </w:rPr>
        <w:t>2. ANTECEDENTES</w:t>
      </w:r>
    </w:p>
    <w:p w:rsidR="005E0E9E" w:rsidRDefault="005E0E9E">
      <w:pPr>
        <w:jc w:val="center"/>
        <w:rPr>
          <w:sz w:val="22"/>
          <w:szCs w:val="22"/>
        </w:rPr>
      </w:pPr>
    </w:p>
    <w:p w:rsidR="005E0E9E" w:rsidRDefault="007F523F">
      <w:pPr>
        <w:rPr>
          <w:sz w:val="22"/>
          <w:szCs w:val="22"/>
        </w:rPr>
      </w:pPr>
      <w:r>
        <w:rPr>
          <w:sz w:val="22"/>
          <w:szCs w:val="22"/>
        </w:rPr>
        <w:t>El proyecto de acuerdo se ha presentado ante la corporación en la vigencia 2022 y 2023 así:</w:t>
      </w:r>
    </w:p>
    <w:tbl>
      <w:tblPr>
        <w:tblStyle w:val="a3"/>
        <w:tblpPr w:leftFromText="141" w:rightFromText="141" w:vertAnchor="text" w:tblpY="112"/>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1"/>
        <w:gridCol w:w="4046"/>
        <w:gridCol w:w="1953"/>
        <w:gridCol w:w="1590"/>
      </w:tblGrid>
      <w:tr w:rsidR="005E0E9E">
        <w:tc>
          <w:tcPr>
            <w:tcW w:w="1560" w:type="dxa"/>
          </w:tcPr>
          <w:p w:rsidR="005E0E9E" w:rsidRDefault="007F523F">
            <w:pPr>
              <w:jc w:val="center"/>
              <w:rPr>
                <w:b/>
                <w:sz w:val="22"/>
                <w:szCs w:val="22"/>
              </w:rPr>
            </w:pPr>
            <w:r>
              <w:rPr>
                <w:b/>
                <w:sz w:val="22"/>
                <w:szCs w:val="22"/>
              </w:rPr>
              <w:t>Número</w:t>
            </w:r>
          </w:p>
        </w:tc>
        <w:tc>
          <w:tcPr>
            <w:tcW w:w="4046" w:type="dxa"/>
          </w:tcPr>
          <w:p w:rsidR="005E0E9E" w:rsidRDefault="007F523F">
            <w:pPr>
              <w:jc w:val="center"/>
              <w:rPr>
                <w:b/>
                <w:sz w:val="22"/>
                <w:szCs w:val="22"/>
              </w:rPr>
            </w:pPr>
            <w:r>
              <w:rPr>
                <w:b/>
                <w:sz w:val="22"/>
                <w:szCs w:val="22"/>
              </w:rPr>
              <w:t>Título del Proyecto</w:t>
            </w:r>
          </w:p>
        </w:tc>
        <w:tc>
          <w:tcPr>
            <w:tcW w:w="1953" w:type="dxa"/>
          </w:tcPr>
          <w:p w:rsidR="005E0E9E" w:rsidRDefault="007F523F">
            <w:pPr>
              <w:jc w:val="center"/>
              <w:rPr>
                <w:b/>
                <w:sz w:val="22"/>
                <w:szCs w:val="22"/>
              </w:rPr>
            </w:pPr>
            <w:r>
              <w:rPr>
                <w:b/>
                <w:sz w:val="22"/>
                <w:szCs w:val="22"/>
              </w:rPr>
              <w:t>Ponentes</w:t>
            </w:r>
          </w:p>
        </w:tc>
        <w:tc>
          <w:tcPr>
            <w:tcW w:w="1590" w:type="dxa"/>
          </w:tcPr>
          <w:p w:rsidR="005E0E9E" w:rsidRDefault="007F523F">
            <w:pPr>
              <w:jc w:val="center"/>
              <w:rPr>
                <w:b/>
                <w:sz w:val="22"/>
                <w:szCs w:val="22"/>
              </w:rPr>
            </w:pPr>
            <w:r>
              <w:rPr>
                <w:b/>
                <w:sz w:val="22"/>
                <w:szCs w:val="22"/>
              </w:rPr>
              <w:t>Trámite</w:t>
            </w:r>
          </w:p>
        </w:tc>
      </w:tr>
      <w:tr w:rsidR="005E0E9E">
        <w:tc>
          <w:tcPr>
            <w:tcW w:w="1560" w:type="dxa"/>
          </w:tcPr>
          <w:p w:rsidR="005E0E9E" w:rsidRDefault="007F523F">
            <w:pPr>
              <w:rPr>
                <w:sz w:val="22"/>
                <w:szCs w:val="22"/>
              </w:rPr>
            </w:pPr>
            <w:r>
              <w:rPr>
                <w:sz w:val="22"/>
                <w:szCs w:val="22"/>
              </w:rPr>
              <w:t>022/2024</w:t>
            </w:r>
          </w:p>
        </w:tc>
        <w:tc>
          <w:tcPr>
            <w:tcW w:w="4046" w:type="dxa"/>
          </w:tcPr>
          <w:p w:rsidR="005E0E9E" w:rsidRDefault="007F523F">
            <w:pPr>
              <w:rPr>
                <w:sz w:val="22"/>
                <w:szCs w:val="22"/>
              </w:rPr>
            </w:pPr>
            <w:r>
              <w:rPr>
                <w:sz w:val="22"/>
                <w:szCs w:val="22"/>
                <w:highlight w:val="white"/>
              </w:rPr>
              <w:t>“Por medio del cual se impulsa la estrategia para la disminución de riñas, peleas, altercados o disputas violentas en la ciudad de Bogotá D.C.”</w:t>
            </w:r>
          </w:p>
        </w:tc>
        <w:tc>
          <w:tcPr>
            <w:tcW w:w="1953" w:type="dxa"/>
          </w:tcPr>
          <w:p w:rsidR="005E0E9E" w:rsidRDefault="007F523F">
            <w:pPr>
              <w:rPr>
                <w:sz w:val="22"/>
                <w:szCs w:val="22"/>
              </w:rPr>
            </w:pPr>
            <w:r>
              <w:rPr>
                <w:sz w:val="22"/>
                <w:szCs w:val="22"/>
              </w:rPr>
              <w:t xml:space="preserve">Rolando González </w:t>
            </w:r>
          </w:p>
          <w:p w:rsidR="005E0E9E" w:rsidRDefault="007F523F">
            <w:pPr>
              <w:rPr>
                <w:sz w:val="22"/>
                <w:szCs w:val="22"/>
              </w:rPr>
            </w:pPr>
            <w:r>
              <w:rPr>
                <w:sz w:val="22"/>
                <w:szCs w:val="22"/>
              </w:rPr>
              <w:t xml:space="preserve">Edward Arias Rubio </w:t>
            </w:r>
          </w:p>
        </w:tc>
        <w:tc>
          <w:tcPr>
            <w:tcW w:w="1590" w:type="dxa"/>
          </w:tcPr>
          <w:p w:rsidR="005E0E9E" w:rsidRDefault="007F523F">
            <w:pPr>
              <w:jc w:val="center"/>
              <w:rPr>
                <w:sz w:val="22"/>
                <w:szCs w:val="22"/>
              </w:rPr>
            </w:pPr>
            <w:r>
              <w:rPr>
                <w:sz w:val="22"/>
                <w:szCs w:val="22"/>
              </w:rPr>
              <w:t>Ponencia conjunta positiva</w:t>
            </w:r>
          </w:p>
        </w:tc>
      </w:tr>
    </w:tbl>
    <w:p w:rsidR="005E0E9E" w:rsidRDefault="005E0E9E">
      <w:pPr>
        <w:rPr>
          <w:rFonts w:ascii="Verdana" w:eastAsia="Verdana" w:hAnsi="Verdana" w:cs="Verdana"/>
          <w:color w:val="333333"/>
          <w:sz w:val="20"/>
          <w:szCs w:val="20"/>
          <w:highlight w:val="white"/>
        </w:rPr>
      </w:pPr>
    </w:p>
    <w:p w:rsidR="005E0E9E" w:rsidRDefault="007F523F">
      <w:pPr>
        <w:jc w:val="center"/>
        <w:rPr>
          <w:b/>
          <w:sz w:val="22"/>
          <w:szCs w:val="22"/>
        </w:rPr>
      </w:pPr>
      <w:r>
        <w:rPr>
          <w:b/>
          <w:sz w:val="22"/>
          <w:szCs w:val="22"/>
        </w:rPr>
        <w:t>3.  JUSTIFICACIÓN DEL AUTOR</w:t>
      </w:r>
    </w:p>
    <w:p w:rsidR="005E0E9E" w:rsidRDefault="005E0E9E">
      <w:pPr>
        <w:jc w:val="center"/>
        <w:rPr>
          <w:b/>
          <w:sz w:val="22"/>
          <w:szCs w:val="22"/>
        </w:rPr>
      </w:pPr>
    </w:p>
    <w:p w:rsidR="005E0E9E" w:rsidRDefault="007F523F">
      <w:pPr>
        <w:jc w:val="both"/>
        <w:rPr>
          <w:sz w:val="22"/>
          <w:szCs w:val="22"/>
        </w:rPr>
      </w:pPr>
      <w:r>
        <w:rPr>
          <w:sz w:val="22"/>
          <w:szCs w:val="22"/>
        </w:rPr>
        <w:t xml:space="preserve">En la exposición de motivos del proyecto de acuerdo presentado por el H.C. Julián Espinosa, objeto de estudio, se presentan las siguientes justificaciones: </w:t>
      </w:r>
    </w:p>
    <w:p w:rsidR="005E0E9E" w:rsidRDefault="005E0E9E">
      <w:pPr>
        <w:jc w:val="both"/>
        <w:rPr>
          <w:sz w:val="22"/>
          <w:szCs w:val="22"/>
        </w:rPr>
      </w:pPr>
    </w:p>
    <w:p w:rsidR="005E0E9E" w:rsidRDefault="007F523F">
      <w:pPr>
        <w:numPr>
          <w:ilvl w:val="0"/>
          <w:numId w:val="3"/>
        </w:numPr>
        <w:jc w:val="both"/>
        <w:rPr>
          <w:sz w:val="22"/>
          <w:szCs w:val="22"/>
        </w:rPr>
      </w:pPr>
      <w:r>
        <w:rPr>
          <w:sz w:val="22"/>
          <w:szCs w:val="22"/>
        </w:rPr>
        <w:t>El autor señala que la ciudad de Bogotá presenta una de las cifras respecto a riñas más altas del país, a tal punto que ha tenido que disponer de 5.352 policías y uniformados del Ejército y 300 servidores del Escuadrón Anti-Riñas de la Secretaría de Seguri</w:t>
      </w:r>
      <w:r>
        <w:rPr>
          <w:sz w:val="22"/>
          <w:szCs w:val="22"/>
        </w:rPr>
        <w:t>dad creado en el año 2021.</w:t>
      </w:r>
    </w:p>
    <w:p w:rsidR="005E0E9E" w:rsidRDefault="005E0E9E">
      <w:pPr>
        <w:jc w:val="both"/>
        <w:rPr>
          <w:sz w:val="22"/>
          <w:szCs w:val="22"/>
        </w:rPr>
      </w:pPr>
    </w:p>
    <w:p w:rsidR="005E0E9E" w:rsidRDefault="007F523F">
      <w:pPr>
        <w:numPr>
          <w:ilvl w:val="0"/>
          <w:numId w:val="4"/>
        </w:numPr>
        <w:jc w:val="both"/>
        <w:rPr>
          <w:sz w:val="22"/>
          <w:szCs w:val="22"/>
        </w:rPr>
      </w:pPr>
      <w:r>
        <w:rPr>
          <w:sz w:val="22"/>
          <w:szCs w:val="22"/>
        </w:rPr>
        <w:t>Sobre el escuadrón Anti-Riñas, el autor expresa que la finalidad de este grupo es reforzar los operativos de control a personas y establecimientos al interior de los barrios, caravanas por la vida, patrullajes mixtos, vigilancia disuasiva del crimen y jorn</w:t>
      </w:r>
      <w:r>
        <w:rPr>
          <w:sz w:val="22"/>
          <w:szCs w:val="22"/>
        </w:rPr>
        <w:t>adas de desarme, entre otras actividades, para la prevención y desactivación de riñas, especialmente en las localidades que presentan un alto número de casos de intolerancia.</w:t>
      </w:r>
    </w:p>
    <w:p w:rsidR="005E0E9E" w:rsidRDefault="005E0E9E">
      <w:pPr>
        <w:jc w:val="both"/>
        <w:rPr>
          <w:sz w:val="22"/>
          <w:szCs w:val="22"/>
        </w:rPr>
      </w:pPr>
    </w:p>
    <w:p w:rsidR="005E0E9E" w:rsidRDefault="007F523F">
      <w:pPr>
        <w:numPr>
          <w:ilvl w:val="0"/>
          <w:numId w:val="1"/>
        </w:numPr>
        <w:jc w:val="both"/>
        <w:rPr>
          <w:sz w:val="22"/>
          <w:szCs w:val="22"/>
        </w:rPr>
      </w:pPr>
      <w:r>
        <w:rPr>
          <w:sz w:val="22"/>
          <w:szCs w:val="22"/>
        </w:rPr>
        <w:lastRenderedPageBreak/>
        <w:t>Adicionalmente, argumenta el honorable concejal autor que en el primer trimestre</w:t>
      </w:r>
      <w:r>
        <w:rPr>
          <w:sz w:val="22"/>
          <w:szCs w:val="22"/>
        </w:rPr>
        <w:t xml:space="preserve"> del 2023, 52 personas fueron asesinadas en el marco de una riña, un aumento del 28% con respecto al periodo del año anterior. En promedio, cada día la Policía debe atender 1.190 riñas en Bogotá. Las principales causas de riñas en la ciudad derivan del mal</w:t>
      </w:r>
      <w:r>
        <w:rPr>
          <w:sz w:val="22"/>
          <w:szCs w:val="22"/>
        </w:rPr>
        <w:t xml:space="preserve"> uso de bebidas embriagantes o elementos alucinógenos.</w:t>
      </w:r>
    </w:p>
    <w:p w:rsidR="005E0E9E" w:rsidRDefault="005E0E9E">
      <w:pPr>
        <w:jc w:val="center"/>
        <w:rPr>
          <w:b/>
          <w:sz w:val="22"/>
          <w:szCs w:val="22"/>
        </w:rPr>
      </w:pPr>
    </w:p>
    <w:p w:rsidR="005E0E9E" w:rsidRDefault="007F523F">
      <w:pPr>
        <w:jc w:val="center"/>
        <w:rPr>
          <w:b/>
          <w:sz w:val="22"/>
          <w:szCs w:val="22"/>
        </w:rPr>
      </w:pPr>
      <w:r>
        <w:rPr>
          <w:b/>
          <w:sz w:val="22"/>
          <w:szCs w:val="22"/>
        </w:rPr>
        <w:t>3.1. CONSIDERACIONES DE LOS PONENTES SOBRE LA JUSTIFICACIÓN DEL PROYECTO</w:t>
      </w:r>
    </w:p>
    <w:p w:rsidR="005E0E9E" w:rsidRDefault="005E0E9E">
      <w:pPr>
        <w:jc w:val="center"/>
        <w:rPr>
          <w:b/>
          <w:sz w:val="22"/>
          <w:szCs w:val="22"/>
        </w:rPr>
      </w:pPr>
    </w:p>
    <w:p w:rsidR="005E0E9E" w:rsidRDefault="007F523F">
      <w:pPr>
        <w:jc w:val="both"/>
        <w:rPr>
          <w:sz w:val="22"/>
          <w:szCs w:val="22"/>
        </w:rPr>
      </w:pPr>
      <w:r>
        <w:rPr>
          <w:sz w:val="22"/>
          <w:szCs w:val="22"/>
        </w:rPr>
        <w:t xml:space="preserve">Teniendo en consideración que Colombia fue posicionado en el puesto </w:t>
      </w:r>
      <w:r>
        <w:rPr>
          <w:b/>
          <w:sz w:val="22"/>
          <w:szCs w:val="22"/>
        </w:rPr>
        <w:t>146</w:t>
      </w:r>
      <w:r>
        <w:rPr>
          <w:sz w:val="22"/>
          <w:szCs w:val="22"/>
        </w:rPr>
        <w:t xml:space="preserve"> del índice de Global Peace</w:t>
      </w:r>
      <w:r>
        <w:rPr>
          <w:sz w:val="22"/>
          <w:szCs w:val="22"/>
          <w:vertAlign w:val="superscript"/>
        </w:rPr>
        <w:footnoteReference w:id="1"/>
      </w:r>
      <w:r>
        <w:rPr>
          <w:sz w:val="22"/>
          <w:szCs w:val="22"/>
        </w:rPr>
        <w:t>, en razón a ser una de las</w:t>
      </w:r>
      <w:r>
        <w:rPr>
          <w:sz w:val="22"/>
          <w:szCs w:val="22"/>
        </w:rPr>
        <w:t xml:space="preserve"> naciones más peligrosas, y con el argumento de la Secretaría de Seguridad y Convivencia en Bogotá de que aproximadamente </w:t>
      </w:r>
      <w:r>
        <w:rPr>
          <w:b/>
          <w:sz w:val="22"/>
          <w:szCs w:val="22"/>
        </w:rPr>
        <w:t xml:space="preserve">32% </w:t>
      </w:r>
      <w:r>
        <w:rPr>
          <w:sz w:val="22"/>
          <w:szCs w:val="22"/>
        </w:rPr>
        <w:t>de los homicidios que se presentan, comienzan siendo una riña; y partiendo de esta premisa es relevante considerar que solo en 202</w:t>
      </w:r>
      <w:r>
        <w:rPr>
          <w:sz w:val="22"/>
          <w:szCs w:val="22"/>
        </w:rPr>
        <w:t>4 se presentaron más de 20.000 casos de violencia interpersonal, cerca de 1.200 constr adultos mayores.</w:t>
      </w:r>
    </w:p>
    <w:p w:rsidR="005E0E9E" w:rsidRDefault="005E0E9E">
      <w:pPr>
        <w:jc w:val="both"/>
        <w:rPr>
          <w:sz w:val="22"/>
          <w:szCs w:val="22"/>
        </w:rPr>
      </w:pPr>
    </w:p>
    <w:p w:rsidR="005E0E9E" w:rsidRDefault="007F523F">
      <w:pPr>
        <w:jc w:val="center"/>
        <w:rPr>
          <w:b/>
          <w:i/>
          <w:sz w:val="22"/>
          <w:szCs w:val="22"/>
        </w:rPr>
      </w:pPr>
      <w:r>
        <w:rPr>
          <w:b/>
          <w:i/>
          <w:sz w:val="22"/>
          <w:szCs w:val="22"/>
        </w:rPr>
        <w:t>Casos de violencia Interpersonal en Bogotá año 2024.</w:t>
      </w:r>
    </w:p>
    <w:p w:rsidR="005E0E9E" w:rsidRDefault="007F523F">
      <w:pPr>
        <w:jc w:val="center"/>
        <w:rPr>
          <w:sz w:val="22"/>
          <w:szCs w:val="22"/>
        </w:rPr>
      </w:pPr>
      <w:r>
        <w:rPr>
          <w:noProof/>
          <w:sz w:val="22"/>
          <w:szCs w:val="22"/>
          <w:lang w:val="es-419"/>
        </w:rPr>
        <w:drawing>
          <wp:inline distT="114300" distB="114300" distL="114300" distR="114300">
            <wp:extent cx="3305112" cy="1337598"/>
            <wp:effectExtent l="0" t="0" r="0" b="0"/>
            <wp:docPr id="1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3305112" cy="1337598"/>
                    </a:xfrm>
                    <a:prstGeom prst="rect">
                      <a:avLst/>
                    </a:prstGeom>
                    <a:ln/>
                  </pic:spPr>
                </pic:pic>
              </a:graphicData>
            </a:graphic>
          </wp:inline>
        </w:drawing>
      </w:r>
    </w:p>
    <w:p w:rsidR="005E0E9E" w:rsidRDefault="007F523F">
      <w:pPr>
        <w:ind w:left="2880"/>
        <w:rPr>
          <w:sz w:val="18"/>
          <w:szCs w:val="18"/>
        </w:rPr>
      </w:pPr>
      <w:r>
        <w:rPr>
          <w:sz w:val="18"/>
          <w:szCs w:val="18"/>
        </w:rPr>
        <w:t>Fuente: Medicina Legal</w:t>
      </w:r>
    </w:p>
    <w:p w:rsidR="005E0E9E" w:rsidRDefault="005E0E9E">
      <w:pPr>
        <w:jc w:val="both"/>
        <w:rPr>
          <w:sz w:val="22"/>
          <w:szCs w:val="22"/>
        </w:rPr>
      </w:pPr>
    </w:p>
    <w:p w:rsidR="005E0E9E" w:rsidRDefault="007F523F">
      <w:pPr>
        <w:jc w:val="both"/>
        <w:rPr>
          <w:sz w:val="22"/>
          <w:szCs w:val="22"/>
        </w:rPr>
      </w:pPr>
      <w:r>
        <w:rPr>
          <w:sz w:val="22"/>
          <w:szCs w:val="22"/>
        </w:rPr>
        <w:t>Ahora bien, una de las causas de las riñas, conforme lo expuesto por las</w:t>
      </w:r>
      <w:r>
        <w:rPr>
          <w:sz w:val="22"/>
          <w:szCs w:val="22"/>
        </w:rPr>
        <w:t xml:space="preserve"> cifras oficiales de la Policía Nacional y los múltiples escritos sobre este tema es el consumo de bebidas embriagantes, es por esta razón que la Policía registra un total de 18.059 casos de lesiones personales, el horario con mayor número de casos son las</w:t>
      </w:r>
      <w:r>
        <w:rPr>
          <w:sz w:val="22"/>
          <w:szCs w:val="22"/>
        </w:rPr>
        <w:t xml:space="preserve"> noches y madrugadas del fin de semana.</w:t>
      </w:r>
    </w:p>
    <w:p w:rsidR="005E0E9E" w:rsidRDefault="007F523F">
      <w:pPr>
        <w:jc w:val="center"/>
        <w:rPr>
          <w:sz w:val="22"/>
          <w:szCs w:val="22"/>
        </w:rPr>
      </w:pPr>
      <w:r>
        <w:rPr>
          <w:noProof/>
          <w:sz w:val="22"/>
          <w:szCs w:val="22"/>
          <w:lang w:val="es-419"/>
        </w:rPr>
        <w:drawing>
          <wp:inline distT="114300" distB="114300" distL="114300" distR="114300">
            <wp:extent cx="3667125" cy="1616598"/>
            <wp:effectExtent l="0" t="0" r="0" b="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l="3919" t="4337" r="4872" b="7685"/>
                    <a:stretch>
                      <a:fillRect/>
                    </a:stretch>
                  </pic:blipFill>
                  <pic:spPr>
                    <a:xfrm>
                      <a:off x="0" y="0"/>
                      <a:ext cx="3667125" cy="1616598"/>
                    </a:xfrm>
                    <a:prstGeom prst="rect">
                      <a:avLst/>
                    </a:prstGeom>
                    <a:ln/>
                  </pic:spPr>
                </pic:pic>
              </a:graphicData>
            </a:graphic>
          </wp:inline>
        </w:drawing>
      </w:r>
    </w:p>
    <w:p w:rsidR="005E0E9E" w:rsidRDefault="007F523F">
      <w:pPr>
        <w:jc w:val="center"/>
        <w:rPr>
          <w:i/>
          <w:sz w:val="20"/>
          <w:szCs w:val="20"/>
        </w:rPr>
      </w:pPr>
      <w:r>
        <w:rPr>
          <w:i/>
          <w:sz w:val="20"/>
          <w:szCs w:val="20"/>
        </w:rPr>
        <w:t>Fuente: Sistema de Información Estadístico Delincuencial y Contravencional SIEDCO - PONAL. Cifras con corte a diciembre de 2024, sujetas a actualización.</w:t>
      </w:r>
    </w:p>
    <w:p w:rsidR="005E0E9E" w:rsidRDefault="005E0E9E">
      <w:pPr>
        <w:jc w:val="both"/>
        <w:rPr>
          <w:sz w:val="22"/>
          <w:szCs w:val="22"/>
        </w:rPr>
      </w:pPr>
    </w:p>
    <w:p w:rsidR="005E0E9E" w:rsidRDefault="007F523F">
      <w:pPr>
        <w:jc w:val="both"/>
        <w:rPr>
          <w:sz w:val="22"/>
          <w:szCs w:val="22"/>
        </w:rPr>
      </w:pPr>
      <w:r>
        <w:rPr>
          <w:sz w:val="22"/>
          <w:szCs w:val="22"/>
        </w:rPr>
        <w:t>Es trascendental, además, tomar acciones en las localidades</w:t>
      </w:r>
      <w:r>
        <w:rPr>
          <w:sz w:val="22"/>
          <w:szCs w:val="22"/>
        </w:rPr>
        <w:t xml:space="preserve"> que cuentan con mayor índice de riñas y de registro delictivo de lesiones personales, por ejemplo, solo en la localidad de Kennedy se registraron 2.284 casos en el año 2024.</w:t>
      </w:r>
    </w:p>
    <w:p w:rsidR="005E0E9E" w:rsidRDefault="005E0E9E">
      <w:pPr>
        <w:jc w:val="both"/>
        <w:rPr>
          <w:sz w:val="22"/>
          <w:szCs w:val="22"/>
        </w:rPr>
      </w:pPr>
    </w:p>
    <w:p w:rsidR="005E0E9E" w:rsidRDefault="007F523F">
      <w:pPr>
        <w:jc w:val="center"/>
        <w:rPr>
          <w:sz w:val="22"/>
          <w:szCs w:val="22"/>
        </w:rPr>
      </w:pPr>
      <w:r>
        <w:rPr>
          <w:noProof/>
          <w:sz w:val="22"/>
          <w:szCs w:val="22"/>
          <w:lang w:val="es-419"/>
        </w:rPr>
        <w:drawing>
          <wp:inline distT="114300" distB="114300" distL="114300" distR="114300">
            <wp:extent cx="5434013" cy="1628775"/>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r="3208"/>
                    <a:stretch>
                      <a:fillRect/>
                    </a:stretch>
                  </pic:blipFill>
                  <pic:spPr>
                    <a:xfrm>
                      <a:off x="0" y="0"/>
                      <a:ext cx="5434013" cy="1628775"/>
                    </a:xfrm>
                    <a:prstGeom prst="rect">
                      <a:avLst/>
                    </a:prstGeom>
                    <a:ln/>
                  </pic:spPr>
                </pic:pic>
              </a:graphicData>
            </a:graphic>
          </wp:inline>
        </w:drawing>
      </w:r>
    </w:p>
    <w:p w:rsidR="005E0E9E" w:rsidRDefault="007F523F">
      <w:pPr>
        <w:jc w:val="center"/>
        <w:rPr>
          <w:i/>
          <w:sz w:val="20"/>
          <w:szCs w:val="20"/>
        </w:rPr>
      </w:pPr>
      <w:r>
        <w:rPr>
          <w:i/>
          <w:sz w:val="20"/>
          <w:szCs w:val="20"/>
        </w:rPr>
        <w:t>Fuente: Sistema de Información Estadístico Delincuencial y Contravencional SIE</w:t>
      </w:r>
      <w:r>
        <w:rPr>
          <w:i/>
          <w:sz w:val="20"/>
          <w:szCs w:val="20"/>
        </w:rPr>
        <w:t>DCO - PONAL. Cifras con corte a diciembre de 2024, sujetas a actualización.</w:t>
      </w:r>
    </w:p>
    <w:p w:rsidR="005E0E9E" w:rsidRDefault="007F523F">
      <w:pPr>
        <w:jc w:val="both"/>
        <w:rPr>
          <w:sz w:val="22"/>
          <w:szCs w:val="22"/>
        </w:rPr>
      </w:pPr>
      <w:r>
        <w:rPr>
          <w:sz w:val="22"/>
          <w:szCs w:val="22"/>
        </w:rPr>
        <w:t xml:space="preserve"> </w:t>
      </w:r>
    </w:p>
    <w:p w:rsidR="005E0E9E" w:rsidRDefault="007F523F">
      <w:pPr>
        <w:jc w:val="both"/>
        <w:rPr>
          <w:sz w:val="22"/>
          <w:szCs w:val="22"/>
        </w:rPr>
      </w:pPr>
      <w:r>
        <w:rPr>
          <w:sz w:val="22"/>
          <w:szCs w:val="22"/>
        </w:rPr>
        <w:t>Adicionalmente, otros delitos asociados a las agresiones físicas e interpersonales han aumentado de forma alarmante en la ciudad como es el caso de la violencia intrafamiliar que</w:t>
      </w:r>
      <w:r>
        <w:rPr>
          <w:sz w:val="22"/>
          <w:szCs w:val="22"/>
        </w:rPr>
        <w:t xml:space="preserve"> registró un aumento de 15.9% en 2024 respecto al año anterior, siendo especialmente preocupante que de los 42.374, en cerca de 30.000 casos la víctima fue una mujer y en 6.254 las víctimas fueron un niño o niña.</w:t>
      </w:r>
    </w:p>
    <w:p w:rsidR="005E0E9E" w:rsidRDefault="005E0E9E">
      <w:pPr>
        <w:jc w:val="both"/>
        <w:rPr>
          <w:sz w:val="22"/>
          <w:szCs w:val="22"/>
        </w:rPr>
      </w:pPr>
    </w:p>
    <w:p w:rsidR="005E0E9E" w:rsidRDefault="007F523F">
      <w:pPr>
        <w:jc w:val="both"/>
        <w:rPr>
          <w:sz w:val="22"/>
          <w:szCs w:val="22"/>
        </w:rPr>
      </w:pPr>
      <w:r>
        <w:rPr>
          <w:sz w:val="22"/>
          <w:szCs w:val="22"/>
        </w:rPr>
        <w:t>Este último delito también registra los ho</w:t>
      </w:r>
      <w:r>
        <w:rPr>
          <w:sz w:val="22"/>
          <w:szCs w:val="22"/>
        </w:rPr>
        <w:t>rarios de mayor intensidad en las noches y madrugadas en fines de semana de acuerdo con las cifras del Sistema Informático Estadístico Delincuencial y Contravencional de la Policía Nacional, aspecto que obliga a las autoridades a determinar medidas prevent</w:t>
      </w:r>
      <w:r>
        <w:rPr>
          <w:sz w:val="22"/>
          <w:szCs w:val="22"/>
        </w:rPr>
        <w:t>ivas complementarias de manera que se garantice la protección especialmente a los más vulnerables como niños, niñas, adolescentes, mujeres y adultos mayores.</w:t>
      </w:r>
    </w:p>
    <w:p w:rsidR="005E0E9E" w:rsidRDefault="007F523F">
      <w:pPr>
        <w:jc w:val="center"/>
        <w:rPr>
          <w:sz w:val="22"/>
          <w:szCs w:val="22"/>
        </w:rPr>
      </w:pPr>
      <w:r>
        <w:rPr>
          <w:noProof/>
          <w:sz w:val="22"/>
          <w:szCs w:val="22"/>
          <w:lang w:val="es-419"/>
        </w:rPr>
        <w:drawing>
          <wp:inline distT="114300" distB="114300" distL="114300" distR="114300">
            <wp:extent cx="4062413" cy="2019300"/>
            <wp:effectExtent l="0" t="0" r="0" b="0"/>
            <wp:docPr id="1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r="1954"/>
                    <a:stretch>
                      <a:fillRect/>
                    </a:stretch>
                  </pic:blipFill>
                  <pic:spPr>
                    <a:xfrm>
                      <a:off x="0" y="0"/>
                      <a:ext cx="4062413" cy="2019300"/>
                    </a:xfrm>
                    <a:prstGeom prst="rect">
                      <a:avLst/>
                    </a:prstGeom>
                    <a:ln/>
                  </pic:spPr>
                </pic:pic>
              </a:graphicData>
            </a:graphic>
          </wp:inline>
        </w:drawing>
      </w:r>
    </w:p>
    <w:p w:rsidR="005E0E9E" w:rsidRDefault="005E0E9E">
      <w:pPr>
        <w:jc w:val="both"/>
        <w:rPr>
          <w:sz w:val="22"/>
          <w:szCs w:val="22"/>
        </w:rPr>
      </w:pPr>
    </w:p>
    <w:p w:rsidR="005E0E9E" w:rsidRDefault="007F523F">
      <w:pPr>
        <w:jc w:val="center"/>
        <w:rPr>
          <w:i/>
          <w:sz w:val="20"/>
          <w:szCs w:val="20"/>
        </w:rPr>
      </w:pPr>
      <w:r>
        <w:rPr>
          <w:i/>
          <w:sz w:val="20"/>
          <w:szCs w:val="20"/>
        </w:rPr>
        <w:t>Fuente: Sistema de Información Estadístico Delincuencial y Contravencional SIEDCO - PONAL. Cifras con corte a diciembre de 2024, sujetas a actualización.</w:t>
      </w:r>
    </w:p>
    <w:p w:rsidR="005E0E9E" w:rsidRDefault="005E0E9E">
      <w:pPr>
        <w:jc w:val="both"/>
        <w:rPr>
          <w:sz w:val="22"/>
          <w:szCs w:val="22"/>
        </w:rPr>
      </w:pPr>
    </w:p>
    <w:p w:rsidR="005E0E9E" w:rsidRDefault="007F523F">
      <w:pPr>
        <w:jc w:val="both"/>
        <w:rPr>
          <w:b/>
          <w:sz w:val="22"/>
          <w:szCs w:val="22"/>
        </w:rPr>
      </w:pPr>
      <w:r>
        <w:rPr>
          <w:sz w:val="22"/>
          <w:szCs w:val="22"/>
        </w:rPr>
        <w:t xml:space="preserve">Teniendo en cuenta la amplia exposición de motivos manifestada por el autor, así como la información </w:t>
      </w:r>
      <w:r>
        <w:rPr>
          <w:sz w:val="22"/>
          <w:szCs w:val="22"/>
        </w:rPr>
        <w:t>detallada por nosotros como ponentes, consideramos que el proyecto es viable y necesario para mejorar la prevención y respuesta de las autoridades frente a fenómenos de violencia relacionados con lesiones personales, violencia intrafamiliar, homicidios y c</w:t>
      </w:r>
      <w:r>
        <w:rPr>
          <w:sz w:val="22"/>
          <w:szCs w:val="22"/>
        </w:rPr>
        <w:t>ualquier otro que amenace la integridad y afecte la convivencia de los ciudadanos.</w:t>
      </w:r>
    </w:p>
    <w:p w:rsidR="005E0E9E" w:rsidRDefault="007F523F">
      <w:pPr>
        <w:jc w:val="center"/>
        <w:rPr>
          <w:b/>
          <w:sz w:val="22"/>
          <w:szCs w:val="22"/>
        </w:rPr>
      </w:pPr>
      <w:r>
        <w:rPr>
          <w:b/>
          <w:sz w:val="22"/>
          <w:szCs w:val="22"/>
        </w:rPr>
        <w:t>4. ANÁLISIS JURÍDICO</w:t>
      </w:r>
    </w:p>
    <w:p w:rsidR="005E0E9E" w:rsidRDefault="005E0E9E">
      <w:pPr>
        <w:rPr>
          <w:b/>
          <w:sz w:val="22"/>
          <w:szCs w:val="22"/>
        </w:rPr>
      </w:pPr>
    </w:p>
    <w:p w:rsidR="005E0E9E" w:rsidRDefault="007F523F">
      <w:pPr>
        <w:jc w:val="both"/>
      </w:pPr>
      <w:r>
        <w:t>Conforme los argumentos jurídicos presentados por el autor, y la normatividad evaluada por los ponentes, se cita:</w:t>
      </w:r>
    </w:p>
    <w:p w:rsidR="005E0E9E" w:rsidRDefault="005E0E9E"/>
    <w:p w:rsidR="005E0E9E" w:rsidRDefault="007F523F">
      <w:pPr>
        <w:numPr>
          <w:ilvl w:val="0"/>
          <w:numId w:val="6"/>
        </w:numPr>
        <w:jc w:val="both"/>
      </w:pPr>
      <w:r>
        <w:rPr>
          <w:b/>
        </w:rPr>
        <w:t>Orden Constitucional:</w:t>
      </w:r>
      <w:r>
        <w:t xml:space="preserve"> el artículo 95</w:t>
      </w:r>
      <w:r>
        <w:t xml:space="preserve"> de la Constitución Política de Colombia, que en su numeral 2 y 4 expresa: “</w:t>
      </w:r>
      <w:r>
        <w:rPr>
          <w:highlight w:val="white"/>
        </w:rPr>
        <w:t>Obrar conforme al principio de solidaridad social, respondiendo con acciones humanitarias ante situaciones que pongan en peligro la vida o la salud de las personas</w:t>
      </w:r>
      <w:r>
        <w:t>” “</w:t>
      </w:r>
      <w:r>
        <w:rPr>
          <w:highlight w:val="white"/>
        </w:rPr>
        <w:t>Defender y dif</w:t>
      </w:r>
      <w:r>
        <w:rPr>
          <w:highlight w:val="white"/>
        </w:rPr>
        <w:t>undir los derechos humanos como fundamento de la convivencia pacífica</w:t>
      </w:r>
      <w:r>
        <w:t xml:space="preserve">” </w:t>
      </w:r>
    </w:p>
    <w:p w:rsidR="005E0E9E" w:rsidRDefault="007F523F">
      <w:pPr>
        <w:numPr>
          <w:ilvl w:val="0"/>
          <w:numId w:val="6"/>
        </w:numPr>
        <w:jc w:val="both"/>
      </w:pPr>
      <w:r>
        <w:rPr>
          <w:b/>
        </w:rPr>
        <w:t>Orden Legal:</w:t>
      </w:r>
      <w:r>
        <w:t xml:space="preserve"> la Ley 1801 de 2016, que en su artículo 93 señala la riña como un comportamiento que no debe realizarse y expresamente dice en su numeral 2: “Auspiciar riñas o incurrir en</w:t>
      </w:r>
      <w:r>
        <w:t xml:space="preserve"> confrontaciones violentas que puedan derivar en agresiones físicas o escándalos”</w:t>
      </w:r>
    </w:p>
    <w:p w:rsidR="005E0E9E" w:rsidRDefault="007F523F">
      <w:pPr>
        <w:numPr>
          <w:ilvl w:val="0"/>
          <w:numId w:val="6"/>
        </w:numPr>
        <w:jc w:val="both"/>
      </w:pPr>
      <w:r>
        <w:rPr>
          <w:b/>
        </w:rPr>
        <w:t>Orden Reglamentario:</w:t>
      </w:r>
      <w:r>
        <w:t xml:space="preserve"> Decreto distrital 657 de 2011 (Título III y Título IV), Decreto 594 de 2017, Decretos 079 de 2018 y el Decreto 119 de 2022 </w:t>
      </w:r>
      <w:r>
        <w:rPr>
          <w:highlight w:val="white"/>
        </w:rPr>
        <w:t>(prorrogado por el Decreto Dis</w:t>
      </w:r>
      <w:r>
        <w:rPr>
          <w:highlight w:val="white"/>
        </w:rPr>
        <w:t>trital 298 de 2024).</w:t>
      </w:r>
    </w:p>
    <w:p w:rsidR="005E0E9E" w:rsidRDefault="007F523F">
      <w:pPr>
        <w:numPr>
          <w:ilvl w:val="0"/>
          <w:numId w:val="6"/>
        </w:numPr>
        <w:jc w:val="both"/>
        <w:rPr>
          <w:highlight w:val="white"/>
        </w:rPr>
      </w:pPr>
      <w:r>
        <w:rPr>
          <w:highlight w:val="white"/>
        </w:rPr>
        <w:t>Plan Integral de Seguridad Ciudadana, Convivencia y Justicia para Bogotá,</w:t>
      </w:r>
      <w:r>
        <w:rPr>
          <w:b/>
          <w:highlight w:val="white"/>
        </w:rPr>
        <w:t xml:space="preserve">(PISCCJ) </w:t>
      </w:r>
      <w:r>
        <w:rPr>
          <w:highlight w:val="white"/>
        </w:rPr>
        <w:t>en marco de lo establecido por la Constitución Política en su artículo 113, respecto a la colaboración armoniosa entre las Entidades del Estado.</w:t>
      </w:r>
    </w:p>
    <w:p w:rsidR="005E0E9E" w:rsidRDefault="005E0E9E">
      <w:pPr>
        <w:jc w:val="center"/>
        <w:rPr>
          <w:b/>
          <w:sz w:val="22"/>
          <w:szCs w:val="22"/>
        </w:rPr>
      </w:pPr>
    </w:p>
    <w:p w:rsidR="005E0E9E" w:rsidRDefault="007F523F">
      <w:pPr>
        <w:jc w:val="center"/>
        <w:rPr>
          <w:b/>
          <w:sz w:val="22"/>
          <w:szCs w:val="22"/>
        </w:rPr>
      </w:pPr>
      <w:r>
        <w:rPr>
          <w:b/>
          <w:sz w:val="22"/>
          <w:szCs w:val="22"/>
        </w:rPr>
        <w:t>4.1. CO</w:t>
      </w:r>
      <w:r>
        <w:rPr>
          <w:b/>
          <w:sz w:val="22"/>
          <w:szCs w:val="22"/>
        </w:rPr>
        <w:t>NSIDERACIONES DE LOS PONENTES SOBRE EL ANÁLISIS JURÍDICO Y LAS COMPETENCIAS DEL CONCEJO DE BOGOTÁ</w:t>
      </w:r>
    </w:p>
    <w:p w:rsidR="005E0E9E" w:rsidRDefault="005E0E9E">
      <w:pPr>
        <w:shd w:val="clear" w:color="auto" w:fill="FFFFFF"/>
        <w:jc w:val="both"/>
        <w:rPr>
          <w:b/>
          <w:highlight w:val="white"/>
        </w:rPr>
      </w:pPr>
    </w:p>
    <w:p w:rsidR="005E0E9E" w:rsidRDefault="007F523F">
      <w:pPr>
        <w:shd w:val="clear" w:color="auto" w:fill="FFFFFF"/>
        <w:jc w:val="both"/>
        <w:rPr>
          <w:highlight w:val="white"/>
        </w:rPr>
      </w:pPr>
      <w:r>
        <w:rPr>
          <w:highlight w:val="white"/>
        </w:rPr>
        <w:t>El concejo es competente para tramitar los proyectos de acuerdo, de conformidad con lo dispuesto en el numeral 1 del artículo 313 de la Constitución Política</w:t>
      </w:r>
      <w:r>
        <w:rPr>
          <w:highlight w:val="white"/>
        </w:rPr>
        <w:t xml:space="preserve"> de Colombia:</w:t>
      </w:r>
    </w:p>
    <w:p w:rsidR="005E0E9E" w:rsidRDefault="005E0E9E">
      <w:pPr>
        <w:shd w:val="clear" w:color="auto" w:fill="FFFFFF"/>
        <w:ind w:left="1440"/>
        <w:jc w:val="both"/>
        <w:rPr>
          <w:highlight w:val="white"/>
        </w:rPr>
      </w:pPr>
    </w:p>
    <w:p w:rsidR="005E0E9E" w:rsidRDefault="007F523F">
      <w:pPr>
        <w:shd w:val="clear" w:color="auto" w:fill="FFFFFF"/>
        <w:ind w:left="720"/>
        <w:jc w:val="both"/>
        <w:rPr>
          <w:highlight w:val="white"/>
        </w:rPr>
      </w:pPr>
      <w:r>
        <w:rPr>
          <w:highlight w:val="white"/>
        </w:rPr>
        <w:t>“</w:t>
      </w:r>
      <w:r>
        <w:rPr>
          <w:i/>
          <w:highlight w:val="white"/>
        </w:rPr>
        <w:t>1. Reglamentar las funciones y la eficiente prestación de los servicios a cargo del municipio</w:t>
      </w:r>
      <w:r>
        <w:rPr>
          <w:highlight w:val="white"/>
        </w:rPr>
        <w:t>”.</w:t>
      </w:r>
    </w:p>
    <w:p w:rsidR="005E0E9E" w:rsidRDefault="005E0E9E">
      <w:pPr>
        <w:shd w:val="clear" w:color="auto" w:fill="FFFFFF"/>
        <w:ind w:left="720"/>
        <w:jc w:val="both"/>
        <w:rPr>
          <w:i/>
          <w:highlight w:val="white"/>
        </w:rPr>
      </w:pPr>
    </w:p>
    <w:p w:rsidR="005E0E9E" w:rsidRDefault="007F523F">
      <w:pPr>
        <w:shd w:val="clear" w:color="auto" w:fill="FFFFFF"/>
        <w:ind w:left="720"/>
        <w:jc w:val="both"/>
        <w:rPr>
          <w:i/>
          <w:highlight w:val="white"/>
        </w:rPr>
      </w:pPr>
      <w:r>
        <w:rPr>
          <w:i/>
          <w:highlight w:val="white"/>
        </w:rPr>
        <w:t>“10. Las demás que la Constitución y la ley le asignen”.</w:t>
      </w:r>
    </w:p>
    <w:p w:rsidR="005E0E9E" w:rsidRDefault="005E0E9E">
      <w:pPr>
        <w:jc w:val="both"/>
        <w:rPr>
          <w:highlight w:val="yellow"/>
        </w:rPr>
      </w:pPr>
    </w:p>
    <w:p w:rsidR="005E0E9E" w:rsidRDefault="007F523F">
      <w:pPr>
        <w:jc w:val="both"/>
        <w:rPr>
          <w:highlight w:val="white"/>
        </w:rPr>
      </w:pPr>
      <w:r>
        <w:rPr>
          <w:highlight w:val="white"/>
        </w:rPr>
        <w:t xml:space="preserve">El </w:t>
      </w:r>
      <w:r>
        <w:rPr>
          <w:b/>
          <w:highlight w:val="white"/>
        </w:rPr>
        <w:t>Decreto Ley 1421 de 1993,</w:t>
      </w:r>
      <w:r>
        <w:rPr>
          <w:highlight w:val="white"/>
        </w:rPr>
        <w:t xml:space="preserve"> que en su artículo 12 numeral 1 establece:</w:t>
      </w:r>
    </w:p>
    <w:p w:rsidR="005E0E9E" w:rsidRDefault="005E0E9E">
      <w:pPr>
        <w:jc w:val="both"/>
        <w:rPr>
          <w:highlight w:val="white"/>
        </w:rPr>
      </w:pPr>
    </w:p>
    <w:p w:rsidR="005E0E9E" w:rsidRDefault="007F523F">
      <w:pPr>
        <w:shd w:val="clear" w:color="auto" w:fill="FFFFFF"/>
        <w:ind w:left="709"/>
        <w:jc w:val="both"/>
        <w:rPr>
          <w:sz w:val="22"/>
          <w:szCs w:val="22"/>
        </w:rPr>
      </w:pPr>
      <w:r>
        <w:rPr>
          <w:highlight w:val="white"/>
        </w:rPr>
        <w:t>“</w:t>
      </w:r>
      <w:r>
        <w:rPr>
          <w:i/>
          <w:highlight w:val="white"/>
        </w:rPr>
        <w:t>1. Dictar las normas necesarias para garantizar el adecuado cumplimiento de las funciones y la eficiente prestación de los servicios a cargo del Distrito</w:t>
      </w:r>
      <w:r>
        <w:rPr>
          <w:highlight w:val="white"/>
        </w:rPr>
        <w:t xml:space="preserve">”. </w:t>
      </w:r>
    </w:p>
    <w:p w:rsidR="005E0E9E" w:rsidRDefault="005E0E9E">
      <w:pPr>
        <w:jc w:val="both"/>
        <w:rPr>
          <w:sz w:val="22"/>
          <w:szCs w:val="22"/>
        </w:rPr>
      </w:pPr>
    </w:p>
    <w:p w:rsidR="005E0E9E" w:rsidRDefault="007F523F">
      <w:pPr>
        <w:jc w:val="both"/>
        <w:rPr>
          <w:sz w:val="22"/>
          <w:szCs w:val="22"/>
        </w:rPr>
      </w:pPr>
      <w:r>
        <w:rPr>
          <w:sz w:val="22"/>
          <w:szCs w:val="22"/>
        </w:rPr>
        <w:t>Adicionalmente, el Plan Distrital de Desarrollo 2024 - 2027 “Bogotá Camina Segura” establece dentr</w:t>
      </w:r>
      <w:r>
        <w:rPr>
          <w:sz w:val="22"/>
          <w:szCs w:val="22"/>
        </w:rPr>
        <w:t>o del objetivo estratégico “Bogotá Avanza en Seguridad”:</w:t>
      </w:r>
    </w:p>
    <w:p w:rsidR="005E0E9E" w:rsidRDefault="005E0E9E">
      <w:pPr>
        <w:jc w:val="both"/>
        <w:rPr>
          <w:sz w:val="22"/>
          <w:szCs w:val="22"/>
        </w:rPr>
      </w:pPr>
    </w:p>
    <w:p w:rsidR="005E0E9E" w:rsidRDefault="007F523F">
      <w:pPr>
        <w:ind w:left="720"/>
        <w:jc w:val="both"/>
        <w:rPr>
          <w:b/>
          <w:sz w:val="22"/>
          <w:szCs w:val="22"/>
        </w:rPr>
      </w:pPr>
      <w:r>
        <w:rPr>
          <w:i/>
          <w:sz w:val="22"/>
          <w:szCs w:val="22"/>
        </w:rPr>
        <w:t>“Se debe construir una ciudad en la que se respete la vida, la diferencia, la propiedad y donde se construyan y fortalezcan lazos de confianza y convivencia entre las personas, así como entre la ciu</w:t>
      </w:r>
      <w:r>
        <w:rPr>
          <w:i/>
          <w:sz w:val="22"/>
          <w:szCs w:val="22"/>
        </w:rPr>
        <w:t>dadanía y sus instituciones. De esta manera se garantiza el bienestar de las personas y el desarrollo del potencial de la ciudad.”</w:t>
      </w:r>
    </w:p>
    <w:p w:rsidR="005E0E9E" w:rsidRDefault="005E0E9E">
      <w:pPr>
        <w:rPr>
          <w:b/>
          <w:sz w:val="22"/>
          <w:szCs w:val="22"/>
        </w:rPr>
      </w:pPr>
    </w:p>
    <w:p w:rsidR="005E0E9E" w:rsidRDefault="007F523F">
      <w:pPr>
        <w:jc w:val="both"/>
        <w:rPr>
          <w:i/>
          <w:sz w:val="22"/>
          <w:szCs w:val="22"/>
        </w:rPr>
      </w:pPr>
      <w:r>
        <w:rPr>
          <w:sz w:val="22"/>
          <w:szCs w:val="22"/>
        </w:rPr>
        <w:t>Sumado a lo anterior, el artículo 7 que establece los Propósito y estrategias del objetivo estratégico “Bogotá avanza en seguridad”, allí se señala:</w:t>
      </w:r>
      <w:r>
        <w:rPr>
          <w:sz w:val="22"/>
          <w:szCs w:val="22"/>
        </w:rPr>
        <w:br/>
      </w:r>
    </w:p>
    <w:p w:rsidR="005E0E9E" w:rsidRDefault="007F523F">
      <w:pPr>
        <w:ind w:left="720"/>
        <w:jc w:val="both"/>
        <w:rPr>
          <w:i/>
          <w:sz w:val="22"/>
          <w:szCs w:val="22"/>
        </w:rPr>
      </w:pPr>
      <w:r>
        <w:rPr>
          <w:i/>
          <w:sz w:val="22"/>
          <w:szCs w:val="22"/>
        </w:rPr>
        <w:t>“(...) se deben construir entornos seguros que permitan la interacción de la ciudadanía sin temor a ser ví</w:t>
      </w:r>
      <w:r>
        <w:rPr>
          <w:i/>
          <w:sz w:val="22"/>
          <w:szCs w:val="22"/>
        </w:rPr>
        <w:t>ctima de delitos contra la vida y el patrimonio, garantizando los derechos fundamentales, y la respuesta por parte de los organismos de seguridad y justicia ante cualquier amenaza. Así mismo, se deben promover la convivencia pacífica, la cultura ciudadana,</w:t>
      </w:r>
      <w:r>
        <w:rPr>
          <w:i/>
          <w:sz w:val="22"/>
          <w:szCs w:val="22"/>
        </w:rPr>
        <w:t xml:space="preserve"> el derecho a una vida libre de violencias y el espacio público como un lugar de encuentro seguro, limpio y accesible para la ciudadanía (...)”</w:t>
      </w:r>
    </w:p>
    <w:p w:rsidR="005E0E9E" w:rsidRDefault="005E0E9E">
      <w:pPr>
        <w:jc w:val="both"/>
        <w:rPr>
          <w:i/>
          <w:sz w:val="22"/>
          <w:szCs w:val="22"/>
        </w:rPr>
      </w:pPr>
    </w:p>
    <w:p w:rsidR="005E0E9E" w:rsidRDefault="007F523F">
      <w:pPr>
        <w:ind w:left="720"/>
        <w:jc w:val="both"/>
        <w:rPr>
          <w:i/>
          <w:sz w:val="22"/>
          <w:szCs w:val="22"/>
        </w:rPr>
      </w:pPr>
      <w:r>
        <w:rPr>
          <w:i/>
          <w:sz w:val="22"/>
          <w:szCs w:val="22"/>
        </w:rPr>
        <w:t>“se deben poner en marcha tres estrategias: 1) mejorar la convivencia a través de la confianza ciudadanía-insti</w:t>
      </w:r>
      <w:r>
        <w:rPr>
          <w:i/>
          <w:sz w:val="22"/>
          <w:szCs w:val="22"/>
        </w:rPr>
        <w:t>tuciones, cultura ciudadana y prevención de violencias; 2) fortalecer la seguridad y justicia con tecnología, recursos humanos y articulación interinstitucional, y 3) garantizar espacios públicos seguros y en mejores condiciones.”</w:t>
      </w:r>
    </w:p>
    <w:p w:rsidR="005E0E9E" w:rsidRDefault="005E0E9E">
      <w:pPr>
        <w:ind w:left="720"/>
        <w:jc w:val="both"/>
        <w:rPr>
          <w:i/>
          <w:sz w:val="22"/>
          <w:szCs w:val="22"/>
        </w:rPr>
      </w:pPr>
    </w:p>
    <w:p w:rsidR="005E0E9E" w:rsidRDefault="007F523F">
      <w:pPr>
        <w:jc w:val="both"/>
        <w:rPr>
          <w:b/>
          <w:sz w:val="22"/>
          <w:szCs w:val="22"/>
        </w:rPr>
      </w:pPr>
      <w:r>
        <w:rPr>
          <w:sz w:val="22"/>
          <w:szCs w:val="22"/>
        </w:rPr>
        <w:t xml:space="preserve">Correspondiente también </w:t>
      </w:r>
      <w:r>
        <w:rPr>
          <w:sz w:val="22"/>
          <w:szCs w:val="22"/>
        </w:rPr>
        <w:t>al objetivo 1 se fijan dos metas concretas para reducir en el cuatrienio los casos de delitos de lesiones personales, tanto el indicador general como los casos específicos donde las víctimas son mujeres.</w:t>
      </w:r>
    </w:p>
    <w:p w:rsidR="005E0E9E" w:rsidRDefault="005E0E9E">
      <w:pPr>
        <w:jc w:val="center"/>
        <w:rPr>
          <w:b/>
          <w:sz w:val="22"/>
          <w:szCs w:val="22"/>
        </w:rPr>
      </w:pPr>
    </w:p>
    <w:p w:rsidR="005E0E9E" w:rsidRDefault="007F523F">
      <w:pPr>
        <w:jc w:val="center"/>
        <w:rPr>
          <w:b/>
          <w:sz w:val="22"/>
          <w:szCs w:val="22"/>
        </w:rPr>
      </w:pPr>
      <w:r>
        <w:rPr>
          <w:b/>
          <w:sz w:val="22"/>
          <w:szCs w:val="22"/>
        </w:rPr>
        <w:t>5. IMPACTO FISCAL</w:t>
      </w:r>
    </w:p>
    <w:p w:rsidR="005E0E9E" w:rsidRDefault="005E0E9E">
      <w:pPr>
        <w:jc w:val="center"/>
        <w:rPr>
          <w:b/>
          <w:sz w:val="22"/>
          <w:szCs w:val="22"/>
        </w:rPr>
      </w:pPr>
    </w:p>
    <w:p w:rsidR="005E0E9E" w:rsidRDefault="007F523F">
      <w:pPr>
        <w:jc w:val="both"/>
      </w:pPr>
      <w:r>
        <w:t>De acuerdo al análisis realizado</w:t>
      </w:r>
      <w:r>
        <w:t xml:space="preserve"> por el autor, de conformidad con el artículo 7 de la Ley 819 de 2003, la presente iniciativa no genera un impacto fiscal que implique una modificación en el marco fiscal de mediano plazo, toda vez, que no se incrementará el presupuesto del Distrito, ni oc</w:t>
      </w:r>
      <w:r>
        <w:t>asionará la creación de una nueva fuente de financiación ni la vinculación de personal que no tengan hoy las entidades encargadas de su implementación.</w:t>
      </w:r>
    </w:p>
    <w:p w:rsidR="005E0E9E" w:rsidRDefault="005E0E9E">
      <w:pPr>
        <w:jc w:val="both"/>
      </w:pPr>
    </w:p>
    <w:p w:rsidR="005E0E9E" w:rsidRDefault="007F523F">
      <w:pPr>
        <w:jc w:val="both"/>
      </w:pPr>
      <w:r>
        <w:t>El autor menciona como relevante que la Honorable Corte Constitucional en Sentencia C-911 de 2007, punt</w:t>
      </w:r>
      <w:r>
        <w:t>ualizó que el impacto fiscal de las normas, no puede convertirse en óbice para que las corporaciones públicas ejerzan su función legislativa y normativa, afirmando:</w:t>
      </w:r>
    </w:p>
    <w:p w:rsidR="005E0E9E" w:rsidRDefault="005E0E9E">
      <w:pPr>
        <w:jc w:val="both"/>
      </w:pPr>
    </w:p>
    <w:p w:rsidR="005E0E9E" w:rsidRDefault="007F523F">
      <w:pPr>
        <w:ind w:left="708"/>
        <w:jc w:val="both"/>
      </w:pPr>
      <w:r>
        <w:t>“En la realidad, aceptar que las condiciones establecidas en el art. 7° de la Ley 819 de 2</w:t>
      </w:r>
      <w:r>
        <w:t>003 constituyen un requisito de trámite que le incumbe cumplir única y exclusivamente al Congreso reduce desproporcionadamente la capacidad de iniciativa legislativa que reside en el Congreso de la República, con lo cual se vulnera el principio de separaci</w:t>
      </w:r>
      <w:r>
        <w:t>ón de las Ramas del Poder Público, en la medida en que se lesiona seriamente la autonomía del Legislativo”.</w:t>
      </w:r>
    </w:p>
    <w:p w:rsidR="005E0E9E" w:rsidRDefault="005E0E9E">
      <w:pPr>
        <w:ind w:left="708"/>
        <w:jc w:val="both"/>
      </w:pPr>
    </w:p>
    <w:p w:rsidR="005E0E9E" w:rsidRDefault="007F523F">
      <w:pPr>
        <w:ind w:left="708"/>
        <w:jc w:val="both"/>
      </w:pPr>
      <w:r>
        <w:t>“(…) Precisamente, los obstáculos casi insuperables que se generarían para la actividad legislativa del Congreso de la República conducirían a conc</w:t>
      </w:r>
      <w:r>
        <w:t xml:space="preserve">ederle una forma de poder de veto al ministro de Hacienda sobre las iniciativas de ley en el Parlamento. Es decir, el mencionado artículo debe interpretarse en el sentido de que su fin es obtener que las leyes que se dicten tengan en cuenta las realidades </w:t>
      </w:r>
      <w:r>
        <w:t>macroeconómicas, pero sin crear barreras insalvables en el ejercicio de la función legislativa ni crear un poder de veto legislativo en cabeza del ministro de Hacienda”.</w:t>
      </w:r>
    </w:p>
    <w:p w:rsidR="005E0E9E" w:rsidRDefault="005E0E9E">
      <w:pPr>
        <w:jc w:val="both"/>
      </w:pPr>
    </w:p>
    <w:p w:rsidR="005E0E9E" w:rsidRDefault="007F523F">
      <w:pPr>
        <w:shd w:val="clear" w:color="auto" w:fill="FFFFFF"/>
        <w:spacing w:after="160"/>
        <w:jc w:val="both"/>
      </w:pPr>
      <w:r>
        <w:t>Es decir, el mencionado artículo debe interpretarse en el sentido de que su fin es obtener que las leyes que se dicten tengan en cuenta las realidades macroeconómicas, pero sin crear barreras insalvables en el ejercicio de la función legislativa ni crear u</w:t>
      </w:r>
      <w:r>
        <w:t>n poder de veto legislativo en cabeza del Ministro de Hacienda.</w:t>
      </w:r>
    </w:p>
    <w:p w:rsidR="005E0E9E" w:rsidRDefault="007F523F">
      <w:pPr>
        <w:jc w:val="center"/>
        <w:rPr>
          <w:b/>
        </w:rPr>
      </w:pPr>
      <w:r>
        <w:rPr>
          <w:b/>
        </w:rPr>
        <w:t>5.1 CONSIDERACIONES DE LOS PONENTES SOBRE EL IMPACTO FISCAL</w:t>
      </w:r>
    </w:p>
    <w:p w:rsidR="005E0E9E" w:rsidRDefault="005E0E9E">
      <w:pPr>
        <w:jc w:val="center"/>
        <w:rPr>
          <w:b/>
        </w:rPr>
      </w:pPr>
    </w:p>
    <w:p w:rsidR="005E0E9E" w:rsidRDefault="007F523F">
      <w:pPr>
        <w:jc w:val="both"/>
      </w:pPr>
      <w:r>
        <w:t>Como ponentes advertimos sobre la dificultad en implementación y el posible impacto fiscal que generaría el artículo 4 del proyecto</w:t>
      </w:r>
      <w:r>
        <w:t xml:space="preserve"> de acuerdo que establece: </w:t>
      </w:r>
      <w:r>
        <w:br/>
      </w:r>
    </w:p>
    <w:p w:rsidR="005E0E9E" w:rsidRDefault="007F523F">
      <w:pPr>
        <w:ind w:left="720"/>
        <w:jc w:val="both"/>
      </w:pPr>
      <w:r>
        <w:t>“La Administración Distrital, en cabeza de la Secretaría de Gobierno, propenderá por diseñar un sistema de incentivos para las localidades que reduzcan el número de riñas o conflictos en el territorio”.</w:t>
      </w:r>
    </w:p>
    <w:p w:rsidR="005E0E9E" w:rsidRDefault="005E0E9E">
      <w:pPr>
        <w:jc w:val="both"/>
      </w:pPr>
    </w:p>
    <w:p w:rsidR="005E0E9E" w:rsidRDefault="007F523F">
      <w:pPr>
        <w:jc w:val="both"/>
        <w:rPr>
          <w:sz w:val="22"/>
          <w:szCs w:val="22"/>
        </w:rPr>
      </w:pPr>
      <w:r>
        <w:t>En lo que respecta al r</w:t>
      </w:r>
      <w:r>
        <w:t xml:space="preserve">esto del articulado, los componentes de la estrategia se pueden enmarcar en varios componentes del Plan Distrital de Desarrollo 2024 - 2027 </w:t>
      </w:r>
      <w:r>
        <w:rPr>
          <w:i/>
        </w:rPr>
        <w:t>“Bogotá Camina Segura”, entre ellos la meta estratégica 4 correspondiente al objetivo 1 “Bogotá Avanza en Seguridad”</w:t>
      </w:r>
      <w:r>
        <w:rPr>
          <w:i/>
        </w:rPr>
        <w:t xml:space="preserve"> que plantea </w:t>
      </w:r>
      <w:r>
        <w:t xml:space="preserve">una disminución a 17.474 casos de lesiones personales para el final del periodo de la administración, así como la meta 7 de reducción a 7.403 casos de lesiones personales donde las víctimas son mujeres. </w:t>
      </w:r>
    </w:p>
    <w:p w:rsidR="005E0E9E" w:rsidRDefault="005E0E9E">
      <w:pPr>
        <w:jc w:val="both"/>
        <w:rPr>
          <w:sz w:val="22"/>
          <w:szCs w:val="22"/>
        </w:rPr>
      </w:pPr>
    </w:p>
    <w:p w:rsidR="005E0E9E" w:rsidRDefault="007F523F">
      <w:pPr>
        <w:jc w:val="center"/>
        <w:rPr>
          <w:b/>
        </w:rPr>
      </w:pPr>
      <w:r>
        <w:rPr>
          <w:b/>
        </w:rPr>
        <w:t xml:space="preserve">6. CONSIDERACIONES SOBRE LA PONENCIA </w:t>
      </w:r>
    </w:p>
    <w:p w:rsidR="005E0E9E" w:rsidRDefault="005E0E9E">
      <w:pPr>
        <w:ind w:left="360"/>
        <w:jc w:val="both"/>
      </w:pPr>
    </w:p>
    <w:p w:rsidR="005E0E9E" w:rsidRDefault="007F523F">
      <w:pPr>
        <w:spacing w:line="276" w:lineRule="auto"/>
        <w:jc w:val="both"/>
      </w:pPr>
      <w:r>
        <w:t>El proyecto de acuerdo 051 de 2025 es una iniciativa que es pertinente en el marco del contexto de violencia que atraviesa Bogotá, especialmente por lo que ocurre con los delitos relacionados con la convivencia, las relaciones interpersonales y la intoler</w:t>
      </w:r>
      <w:r>
        <w:t>ancia. Además, según el Sistema de Información Estadístico Delincuencial y Contravencional SIEDCO, en 2024 se presentó un alarmante aumento de 15.9% en casos de violencia intrafamiliar, 34.3% en delitos sexuales, 11,1% en homicidios, lo que refleja un repu</w:t>
      </w:r>
      <w:r>
        <w:t>nte en conductas delictivas y violentas.</w:t>
      </w:r>
    </w:p>
    <w:p w:rsidR="005E0E9E" w:rsidRDefault="007F523F">
      <w:pPr>
        <w:spacing w:line="276" w:lineRule="auto"/>
        <w:jc w:val="both"/>
      </w:pPr>
      <w:r>
        <w:br/>
      </w:r>
      <w:r>
        <w:br/>
      </w:r>
      <w:r>
        <w:br/>
        <w:t>Por su parte, la Policía Metropolitana registró un total de 18.059 casos de lesiones personales en el año 2024, donde la mayor recurrencia suele presentarse en franjas horarias nocturnas, noche y madrugada especi</w:t>
      </w:r>
      <w:r>
        <w:t>almente del fin de semana, lo que plantea la necesidad de adoptar políticas eficaces para mejorar la convivencia, puntualmente en zonas donde más se presentan casos de violencia y que pueden ser especialmente susceptibles a la ocurrencia de riñas.</w:t>
      </w:r>
    </w:p>
    <w:p w:rsidR="005E0E9E" w:rsidRDefault="005E0E9E">
      <w:pPr>
        <w:spacing w:line="276" w:lineRule="auto"/>
        <w:ind w:left="360"/>
        <w:jc w:val="both"/>
      </w:pPr>
    </w:p>
    <w:p w:rsidR="005E0E9E" w:rsidRDefault="007F523F">
      <w:pPr>
        <w:spacing w:line="276" w:lineRule="auto"/>
        <w:ind w:left="360"/>
        <w:jc w:val="both"/>
      </w:pPr>
      <w:r>
        <w:t xml:space="preserve">En ese </w:t>
      </w:r>
      <w:r>
        <w:t xml:space="preserve">sentido, los ponentes consideramos que el proyecto supone una oportunidad para plantear una estrategia amplia de pedagogía, sensibilización, protección y facilitación de la denuncia en un margen mucho más amplio que abarque otras conductas contrarias a la </w:t>
      </w:r>
      <w:r>
        <w:t>convivencia adicionales a las riñas, por lo que es fundamental que esta estrategia incluya enfoques diferenciales y esfuerzos interinstitucionales coordinados para garantizar accesibilidad e inclusión de todas las comunidades.</w:t>
      </w:r>
    </w:p>
    <w:p w:rsidR="005E0E9E" w:rsidRDefault="005E0E9E">
      <w:pPr>
        <w:spacing w:line="276" w:lineRule="auto"/>
        <w:ind w:left="360"/>
        <w:jc w:val="both"/>
      </w:pPr>
    </w:p>
    <w:p w:rsidR="005E0E9E" w:rsidRDefault="007F523F">
      <w:pPr>
        <w:spacing w:line="276" w:lineRule="auto"/>
        <w:ind w:left="360"/>
        <w:jc w:val="both"/>
      </w:pPr>
      <w:r>
        <w:t xml:space="preserve">Además, otorgar el carácter </w:t>
      </w:r>
      <w:r>
        <w:t>de lineamientos en materia de prevención y atención oportuna en materia de riñas permitirá a la iniciativa avanzar ante posibles controversias jurídicas sobre el límite de competencias del Concejo de Bogotá así como permitirá la creación de una hoja de rut</w:t>
      </w:r>
      <w:r>
        <w:t xml:space="preserve">a permanente para la ciudad. </w:t>
      </w:r>
    </w:p>
    <w:p w:rsidR="005E0E9E" w:rsidRDefault="005E0E9E">
      <w:pPr>
        <w:spacing w:line="276" w:lineRule="auto"/>
        <w:ind w:left="360"/>
        <w:jc w:val="both"/>
      </w:pPr>
    </w:p>
    <w:p w:rsidR="005E0E9E" w:rsidRDefault="007F523F">
      <w:pPr>
        <w:spacing w:line="276" w:lineRule="auto"/>
        <w:ind w:left="360"/>
        <w:jc w:val="both"/>
      </w:pPr>
      <w:r>
        <w:t>Finalmente, el artículo 4 del proyecto puede generar impacto fiscal y no es claro en las competencias o disposiciones legales para ser implementado por lo que se sugiere su supresión como se especificará más adelante en la pr</w:t>
      </w:r>
      <w:r>
        <w:t>opuesta de modificación al articulado. En el resto del articulado no se evidencia gasto nuevo toda vez que no se plantea la contratación de nuevo personal en ninguna de las entidades del Distrito ni la contratación de herramientas, insumos, servicios u obr</w:t>
      </w:r>
      <w:r>
        <w:t>as adicionales a las que ya tienen las entidades involucradas en esta norma de iniciativa del Concejo.</w:t>
      </w:r>
      <w:r>
        <w:br/>
      </w:r>
    </w:p>
    <w:p w:rsidR="005E0E9E" w:rsidRDefault="007F523F">
      <w:pPr>
        <w:pBdr>
          <w:top w:val="nil"/>
          <w:left w:val="nil"/>
          <w:bottom w:val="nil"/>
          <w:right w:val="nil"/>
          <w:between w:val="nil"/>
        </w:pBdr>
        <w:spacing w:line="276" w:lineRule="auto"/>
        <w:jc w:val="center"/>
      </w:pPr>
      <w:r>
        <w:rPr>
          <w:b/>
        </w:rPr>
        <w:t xml:space="preserve">7. PLIEGO MODIFICATORIO CONCERTADO </w:t>
      </w:r>
    </w:p>
    <w:p w:rsidR="005E0E9E" w:rsidRDefault="007F523F">
      <w:pPr>
        <w:spacing w:line="276" w:lineRule="auto"/>
        <w:ind w:left="360"/>
        <w:jc w:val="both"/>
      </w:pPr>
      <w:r>
        <w:t>Conforme lo expuesto anteriormente, nos permitimos exponer las modificaciones a realizar en el articulado, resaltando el cambio de enfoque hacia una formulación de lineamientos para la estrategia.</w:t>
      </w:r>
    </w:p>
    <w:p w:rsidR="005E0E9E" w:rsidRDefault="005E0E9E">
      <w:pPr>
        <w:spacing w:line="276" w:lineRule="auto"/>
        <w:ind w:left="360"/>
        <w:jc w:val="both"/>
      </w:pPr>
    </w:p>
    <w:tbl>
      <w:tblPr>
        <w:tblStyle w:val="a4"/>
        <w:tblW w:w="10935" w:type="dxa"/>
        <w:tblInd w:w="-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0"/>
        <w:gridCol w:w="4185"/>
        <w:gridCol w:w="3090"/>
      </w:tblGrid>
      <w:tr w:rsidR="005E0E9E">
        <w:trPr>
          <w:trHeight w:val="653"/>
        </w:trPr>
        <w:tc>
          <w:tcPr>
            <w:tcW w:w="0" w:type="auto"/>
            <w:vAlign w:val="center"/>
          </w:tcPr>
          <w:p w:rsidR="005E0E9E" w:rsidRDefault="007F523F">
            <w:pPr>
              <w:spacing w:line="276" w:lineRule="auto"/>
              <w:jc w:val="center"/>
              <w:rPr>
                <w:b/>
              </w:rPr>
            </w:pPr>
            <w:r>
              <w:rPr>
                <w:b/>
              </w:rPr>
              <w:t>Proyecto de Acuerdo 051 de 2025</w:t>
            </w:r>
          </w:p>
        </w:tc>
        <w:tc>
          <w:tcPr>
            <w:tcW w:w="0" w:type="auto"/>
            <w:vAlign w:val="center"/>
          </w:tcPr>
          <w:p w:rsidR="005E0E9E" w:rsidRDefault="007F523F">
            <w:pPr>
              <w:spacing w:line="276" w:lineRule="auto"/>
              <w:jc w:val="center"/>
              <w:rPr>
                <w:b/>
              </w:rPr>
            </w:pPr>
            <w:r>
              <w:rPr>
                <w:b/>
              </w:rPr>
              <w:t>Modificaciones del articul</w:t>
            </w:r>
            <w:r>
              <w:rPr>
                <w:b/>
              </w:rPr>
              <w:t>ado</w:t>
            </w:r>
          </w:p>
        </w:tc>
        <w:tc>
          <w:tcPr>
            <w:tcW w:w="0" w:type="auto"/>
            <w:vAlign w:val="center"/>
          </w:tcPr>
          <w:p w:rsidR="005E0E9E" w:rsidRDefault="007F523F">
            <w:pPr>
              <w:spacing w:line="276" w:lineRule="auto"/>
              <w:jc w:val="center"/>
              <w:rPr>
                <w:b/>
              </w:rPr>
            </w:pPr>
            <w:r>
              <w:rPr>
                <w:b/>
              </w:rPr>
              <w:t>Observaciones</w:t>
            </w:r>
          </w:p>
        </w:tc>
      </w:tr>
      <w:tr w:rsidR="005E0E9E">
        <w:tc>
          <w:tcPr>
            <w:tcW w:w="0" w:type="auto"/>
          </w:tcPr>
          <w:p w:rsidR="005E0E9E" w:rsidRDefault="007F523F">
            <w:pPr>
              <w:spacing w:line="276" w:lineRule="auto"/>
              <w:jc w:val="center"/>
            </w:pPr>
            <w:r>
              <w:t>“POR MEDIO DEL CUAL SE IMPULSA LA ESTRATEGIA PARA LA DISMINUCIÓN DE RIÑAS, PELEAS, ALTERCADOS O DISPUTAS VIOLENTAS EN LA CIUDAD DE BOGOTÁ D.C.”</w:t>
            </w:r>
          </w:p>
          <w:p w:rsidR="005E0E9E" w:rsidRDefault="005E0E9E">
            <w:pPr>
              <w:spacing w:line="276" w:lineRule="auto"/>
              <w:jc w:val="both"/>
              <w:rPr>
                <w:b/>
              </w:rPr>
            </w:pPr>
          </w:p>
        </w:tc>
        <w:tc>
          <w:tcPr>
            <w:tcW w:w="0" w:type="auto"/>
          </w:tcPr>
          <w:p w:rsidR="005E0E9E" w:rsidRDefault="007F523F">
            <w:pPr>
              <w:spacing w:line="276" w:lineRule="auto"/>
              <w:jc w:val="center"/>
            </w:pPr>
            <w:r>
              <w:t xml:space="preserve">“POR MEDIO DE CUAL SE </w:t>
            </w:r>
            <w:r>
              <w:rPr>
                <w:b/>
              </w:rPr>
              <w:t>DICTAN LINEAMIENTOS PARA LA FORMULACIÓN DE LA ESTRATEGIA DE REDUCCIÓN</w:t>
            </w:r>
            <w:r>
              <w:t xml:space="preserve"> </w:t>
            </w:r>
            <w:r>
              <w:t>DE RIÑAS, PELEAS Y DISPUTAS VIOLENTAS EN LA CIUDAD DE BOGOTÁ D.C.”</w:t>
            </w:r>
          </w:p>
        </w:tc>
        <w:tc>
          <w:tcPr>
            <w:tcW w:w="0" w:type="auto"/>
          </w:tcPr>
          <w:p w:rsidR="005E0E9E" w:rsidRDefault="007F523F">
            <w:pPr>
              <w:spacing w:line="276" w:lineRule="auto"/>
              <w:jc w:val="both"/>
            </w:pPr>
            <w:r>
              <w:t>A través de la formulación de lineamientos se establecen las guías para la formulación de la estrategia por parte del Distrito y enmarca el proyecto dentro de las competencias del Concejo</w:t>
            </w:r>
          </w:p>
        </w:tc>
      </w:tr>
      <w:tr w:rsidR="005E0E9E">
        <w:tc>
          <w:tcPr>
            <w:tcW w:w="0" w:type="auto"/>
          </w:tcPr>
          <w:p w:rsidR="005E0E9E" w:rsidRDefault="007F523F">
            <w:pPr>
              <w:spacing w:line="276" w:lineRule="auto"/>
              <w:jc w:val="both"/>
            </w:pPr>
            <w:r>
              <w:rPr>
                <w:b/>
              </w:rPr>
              <w:t>Artículo Primero.</w:t>
            </w:r>
            <w:r>
              <w:t xml:space="preserve"> Objeto: </w:t>
            </w:r>
          </w:p>
          <w:p w:rsidR="005E0E9E" w:rsidRDefault="007F523F">
            <w:pPr>
              <w:spacing w:line="276" w:lineRule="auto"/>
              <w:jc w:val="both"/>
            </w:pPr>
            <w:r>
              <w:t>La Secretaría de Seguridad, Convivencia y Justicia implementará de manera permanente la estrategia para reducir las peleas o enfrentamientos que involucren agresión física entre los ciudadanos de Bogotá.</w:t>
            </w:r>
          </w:p>
        </w:tc>
        <w:tc>
          <w:tcPr>
            <w:tcW w:w="0" w:type="auto"/>
          </w:tcPr>
          <w:p w:rsidR="005E0E9E" w:rsidRDefault="007F523F">
            <w:pPr>
              <w:spacing w:line="276" w:lineRule="auto"/>
              <w:jc w:val="both"/>
            </w:pPr>
            <w:r>
              <w:rPr>
                <w:b/>
              </w:rPr>
              <w:t>ARTÍCULO PRIMERO. OBJETIV</w:t>
            </w:r>
            <w:r>
              <w:rPr>
                <w:b/>
              </w:rPr>
              <w:t>OS:</w:t>
            </w:r>
            <w:r>
              <w:t xml:space="preserve"> Dictar los lineamientos para la implementación permanente de la estrategia ‘Anti-Riñas’ para reducir las peleas o enfrentamientos que deriven en casos de lesiones personales entre los ciudadanos de Bogotá D.C.</w:t>
            </w:r>
          </w:p>
        </w:tc>
        <w:tc>
          <w:tcPr>
            <w:tcW w:w="0" w:type="auto"/>
          </w:tcPr>
          <w:p w:rsidR="005E0E9E" w:rsidRDefault="007F523F">
            <w:pPr>
              <w:spacing w:line="276" w:lineRule="auto"/>
              <w:jc w:val="both"/>
            </w:pPr>
            <w:r>
              <w:t>Ajuste de forma en redacción.</w:t>
            </w:r>
          </w:p>
        </w:tc>
      </w:tr>
      <w:tr w:rsidR="005E0E9E">
        <w:tc>
          <w:tcPr>
            <w:tcW w:w="0" w:type="auto"/>
          </w:tcPr>
          <w:p w:rsidR="005E0E9E" w:rsidRDefault="007F523F">
            <w:pPr>
              <w:jc w:val="both"/>
            </w:pPr>
            <w:r>
              <w:rPr>
                <w:b/>
              </w:rPr>
              <w:t>ARTÍCULO SEGUNDO:</w:t>
            </w:r>
            <w:r>
              <w:t xml:space="preserve"> La Secretaría de Seguridad, Convivencia y Justicia instalará de manera permanente el Escuadrón Anti-Riñas con el fin de promover la creación de un modelo de gestión y atención integral de conflictos entre los ciudadanos atendido por funci</w:t>
            </w:r>
            <w:r>
              <w:t>onarios civiles de la entidad.</w:t>
            </w:r>
          </w:p>
          <w:p w:rsidR="005E0E9E" w:rsidRDefault="005E0E9E">
            <w:pPr>
              <w:jc w:val="both"/>
            </w:pPr>
          </w:p>
          <w:p w:rsidR="005E0E9E" w:rsidRDefault="007F523F">
            <w:pPr>
              <w:jc w:val="both"/>
            </w:pPr>
            <w:r>
              <w:rPr>
                <w:b/>
              </w:rPr>
              <w:t>Parágrafo primero:</w:t>
            </w:r>
            <w:r>
              <w:t xml:space="preserve"> El escuadrón Anti-Riñas debe ser creado y constituido en cada localidad de Bogotá D.C.</w:t>
            </w:r>
          </w:p>
          <w:p w:rsidR="005E0E9E" w:rsidRDefault="005E0E9E">
            <w:pPr>
              <w:jc w:val="both"/>
            </w:pPr>
          </w:p>
          <w:p w:rsidR="005E0E9E" w:rsidRDefault="007F523F">
            <w:pPr>
              <w:jc w:val="both"/>
            </w:pPr>
            <w:r>
              <w:rPr>
                <w:b/>
              </w:rPr>
              <w:t>Parágrafo segundo:</w:t>
            </w:r>
            <w:r>
              <w:t xml:space="preserve"> El escuadrón Anti-Riñas estará conformado por: cuatro funcionarios gestores de convivencia de la S</w:t>
            </w:r>
            <w:r>
              <w:t xml:space="preserve">DSCJ. La secretaria promoverá y gestionará ante la policía metropolitana el acompañamiento como mínimo de un auxiliar de policía para cada escuadrón Anti-Riñas </w:t>
            </w:r>
          </w:p>
          <w:p w:rsidR="005E0E9E" w:rsidRDefault="005E0E9E">
            <w:pPr>
              <w:jc w:val="both"/>
            </w:pPr>
          </w:p>
          <w:p w:rsidR="005E0E9E" w:rsidRDefault="007F523F">
            <w:pPr>
              <w:jc w:val="both"/>
            </w:pPr>
            <w:r>
              <w:rPr>
                <w:b/>
              </w:rPr>
              <w:t>Parágrafo tercero:</w:t>
            </w:r>
            <w:r>
              <w:t xml:space="preserve"> La secretaria gestionara ante la MEBOG la presencia de la policía cívica en</w:t>
            </w:r>
            <w:r>
              <w:t xml:space="preserve"> los escuadrones Anti-Riñas</w:t>
            </w:r>
          </w:p>
          <w:p w:rsidR="005E0E9E" w:rsidRDefault="005E0E9E">
            <w:pPr>
              <w:jc w:val="both"/>
            </w:pPr>
          </w:p>
          <w:p w:rsidR="005E0E9E" w:rsidRDefault="007F523F">
            <w:pPr>
              <w:jc w:val="both"/>
            </w:pPr>
            <w:r>
              <w:rPr>
                <w:b/>
              </w:rPr>
              <w:t xml:space="preserve">Parágrafo cuarto: </w:t>
            </w:r>
            <w:r>
              <w:t xml:space="preserve">El Escuadrón Anti-Riñas tendrá como acciones principales: </w:t>
            </w:r>
          </w:p>
          <w:p w:rsidR="005E0E9E" w:rsidRDefault="007F523F">
            <w:pPr>
              <w:jc w:val="both"/>
            </w:pPr>
            <w:r>
              <w:t>Realización de jornadas de pedagogía y resolución de conflictos en zonas dedicadas al consumo de licor entre las 8:00 pm y las 3:00 am de jueves a dom</w:t>
            </w:r>
            <w:r>
              <w:t xml:space="preserve">ingo. </w:t>
            </w:r>
          </w:p>
          <w:p w:rsidR="005E0E9E" w:rsidRDefault="005E0E9E">
            <w:pPr>
              <w:jc w:val="both"/>
            </w:pPr>
          </w:p>
          <w:p w:rsidR="005E0E9E" w:rsidRDefault="007F523F">
            <w:pPr>
              <w:jc w:val="both"/>
            </w:pPr>
            <w:r>
              <w:t>Patrullaje en zonas identificadas de alto consumo de licor, rumba, gastrobares, y/o lugares identificados como espacios de riñas en Bogotá</w:t>
            </w:r>
          </w:p>
          <w:p w:rsidR="005E0E9E" w:rsidRDefault="005E0E9E">
            <w:pPr>
              <w:jc w:val="both"/>
            </w:pPr>
          </w:p>
          <w:p w:rsidR="005E0E9E" w:rsidRDefault="005E0E9E">
            <w:pPr>
              <w:spacing w:line="276" w:lineRule="auto"/>
              <w:jc w:val="both"/>
            </w:pPr>
          </w:p>
        </w:tc>
        <w:tc>
          <w:tcPr>
            <w:tcW w:w="0" w:type="auto"/>
          </w:tcPr>
          <w:p w:rsidR="005E0E9E" w:rsidRDefault="007F523F">
            <w:pPr>
              <w:tabs>
                <w:tab w:val="left" w:pos="1321"/>
              </w:tabs>
              <w:jc w:val="both"/>
            </w:pPr>
            <w:r>
              <w:rPr>
                <w:b/>
              </w:rPr>
              <w:t xml:space="preserve">ARTÍCULO SEGUNDO. LINEAMIENTOS:  </w:t>
            </w:r>
            <w:r>
              <w:t xml:space="preserve">La Administración Distrital deberá tener en cuenta los siguientes lineamientos para la implementación de la estrategia ‘Anti-Riñas’ para reducir las peleas o enfrentamientos que deriven en casos de lesiones personales en Bogotá: </w:t>
            </w:r>
          </w:p>
          <w:p w:rsidR="005E0E9E" w:rsidRDefault="005E0E9E">
            <w:pPr>
              <w:tabs>
                <w:tab w:val="left" w:pos="1321"/>
              </w:tabs>
              <w:jc w:val="both"/>
            </w:pPr>
          </w:p>
          <w:p w:rsidR="005E0E9E" w:rsidRDefault="007F523F">
            <w:pPr>
              <w:numPr>
                <w:ilvl w:val="0"/>
                <w:numId w:val="5"/>
              </w:numPr>
              <w:tabs>
                <w:tab w:val="left" w:pos="1321"/>
              </w:tabs>
              <w:ind w:left="283"/>
              <w:jc w:val="both"/>
              <w:rPr>
                <w:b/>
              </w:rPr>
            </w:pPr>
            <w:r>
              <w:rPr>
                <w:b/>
              </w:rPr>
              <w:t xml:space="preserve">Escuadrón ‘Anti-riñas’. </w:t>
            </w:r>
            <w:r>
              <w:t>P</w:t>
            </w:r>
            <w:r>
              <w:t>ropender por la creación de un Escuadrón ‘Anti-Riñas’ con el fin de promover la prevención y atención de episodios de violencia en la ciudad, especialmente aquellos relacionados con riñas y/o cualquier tipo de conducta violenta que derive en el delito de l</w:t>
            </w:r>
            <w:r>
              <w:t>esiones personales.</w:t>
            </w:r>
          </w:p>
          <w:p w:rsidR="005E0E9E" w:rsidRDefault="005E0E9E">
            <w:pPr>
              <w:tabs>
                <w:tab w:val="left" w:pos="1321"/>
              </w:tabs>
              <w:ind w:left="720"/>
              <w:jc w:val="both"/>
            </w:pPr>
          </w:p>
          <w:p w:rsidR="005E0E9E" w:rsidRDefault="007F523F">
            <w:pPr>
              <w:numPr>
                <w:ilvl w:val="0"/>
                <w:numId w:val="5"/>
              </w:numPr>
              <w:tabs>
                <w:tab w:val="left" w:pos="1321"/>
              </w:tabs>
              <w:ind w:left="283"/>
              <w:jc w:val="both"/>
              <w:rPr>
                <w:b/>
              </w:rPr>
            </w:pPr>
            <w:r>
              <w:rPr>
                <w:b/>
              </w:rPr>
              <w:t xml:space="preserve">Intersectorialidad. </w:t>
            </w:r>
            <w:r>
              <w:t>Fomentar la articulación institucional para la implementación de la estrategia y la conformación del escuadrón ‘Anti-Riñas’, de tal forma que se puedan atender los distintos factores de violencia de acuerdo a la esp</w:t>
            </w:r>
            <w:r>
              <w:t>ecialidad de diversas entidades. La Administración Distrital gestionará la participación de la Policía Metropolitana de Bogotá en el despliegue territorial del escuadrón.</w:t>
            </w:r>
          </w:p>
          <w:p w:rsidR="005E0E9E" w:rsidRDefault="005E0E9E">
            <w:pPr>
              <w:tabs>
                <w:tab w:val="left" w:pos="1321"/>
              </w:tabs>
              <w:ind w:left="720"/>
              <w:jc w:val="both"/>
            </w:pPr>
          </w:p>
          <w:p w:rsidR="005E0E9E" w:rsidRDefault="007F523F">
            <w:pPr>
              <w:numPr>
                <w:ilvl w:val="0"/>
                <w:numId w:val="5"/>
              </w:numPr>
              <w:tabs>
                <w:tab w:val="left" w:pos="1321"/>
              </w:tabs>
              <w:ind w:left="283"/>
              <w:jc w:val="both"/>
              <w:rPr>
                <w:b/>
              </w:rPr>
            </w:pPr>
            <w:r>
              <w:rPr>
                <w:b/>
              </w:rPr>
              <w:t xml:space="preserve">Pedagogía para la prevención de la violencia. </w:t>
            </w:r>
            <w:r>
              <w:t xml:space="preserve">Fortalecer las campañas pedagógicas y </w:t>
            </w:r>
            <w:r>
              <w:t>de prevención de las riñas, especialmente en lugares identificados como susceptibles para este tipo de comportamientos, tales como zonas de rumba y lugares donde se formen aglomeraciones.</w:t>
            </w:r>
          </w:p>
          <w:p w:rsidR="005E0E9E" w:rsidRDefault="005E0E9E">
            <w:pPr>
              <w:tabs>
                <w:tab w:val="left" w:pos="1321"/>
              </w:tabs>
              <w:ind w:left="720"/>
              <w:jc w:val="both"/>
            </w:pPr>
          </w:p>
          <w:p w:rsidR="005E0E9E" w:rsidRDefault="007F523F">
            <w:pPr>
              <w:numPr>
                <w:ilvl w:val="0"/>
                <w:numId w:val="5"/>
              </w:numPr>
              <w:tabs>
                <w:tab w:val="left" w:pos="1321"/>
              </w:tabs>
              <w:ind w:left="283"/>
              <w:jc w:val="both"/>
              <w:rPr>
                <w:b/>
              </w:rPr>
            </w:pPr>
            <w:r>
              <w:rPr>
                <w:b/>
              </w:rPr>
              <w:t xml:space="preserve">Enfoque de género. </w:t>
            </w:r>
            <w:r>
              <w:t>Profundizar las campañas de pedagogía y prevenci</w:t>
            </w:r>
            <w:r>
              <w:t>ón de las riñas y las lesiones personales contra las mujeres de la ciudad que, según las estadísticas, son las mayores víctimas de delitos como violencia intrafamiliar.</w:t>
            </w:r>
          </w:p>
          <w:p w:rsidR="005E0E9E" w:rsidRDefault="005E0E9E">
            <w:pPr>
              <w:tabs>
                <w:tab w:val="left" w:pos="1321"/>
              </w:tabs>
              <w:ind w:left="720"/>
              <w:jc w:val="both"/>
            </w:pPr>
          </w:p>
          <w:p w:rsidR="005E0E9E" w:rsidRDefault="007F523F">
            <w:pPr>
              <w:numPr>
                <w:ilvl w:val="0"/>
                <w:numId w:val="5"/>
              </w:numPr>
              <w:tabs>
                <w:tab w:val="left" w:pos="1321"/>
              </w:tabs>
              <w:ind w:left="283"/>
              <w:jc w:val="both"/>
              <w:rPr>
                <w:b/>
              </w:rPr>
            </w:pPr>
            <w:r>
              <w:rPr>
                <w:b/>
              </w:rPr>
              <w:t xml:space="preserve">Enfoque de salud mental. </w:t>
            </w:r>
            <w:r>
              <w:t>Fortalecer el impacto y alcance de las estrategias de sensibi</w:t>
            </w:r>
            <w:r>
              <w:t>lización en materia de salud mental como parte de la oferta del escuadrón ‘Anti-riñas’, incluyendo pedagogía referente a la importancia de prevenir el consumo problemáticos de alcohol y otras sustancias psicoactivas.</w:t>
            </w:r>
          </w:p>
          <w:p w:rsidR="005E0E9E" w:rsidRDefault="005E0E9E">
            <w:pPr>
              <w:tabs>
                <w:tab w:val="left" w:pos="1321"/>
              </w:tabs>
              <w:ind w:left="720"/>
              <w:jc w:val="both"/>
            </w:pPr>
          </w:p>
          <w:p w:rsidR="005E0E9E" w:rsidRDefault="007F523F">
            <w:pPr>
              <w:numPr>
                <w:ilvl w:val="0"/>
                <w:numId w:val="5"/>
              </w:numPr>
              <w:tabs>
                <w:tab w:val="left" w:pos="1321"/>
              </w:tabs>
              <w:ind w:left="283"/>
              <w:jc w:val="both"/>
              <w:rPr>
                <w:b/>
              </w:rPr>
            </w:pPr>
            <w:r>
              <w:rPr>
                <w:b/>
              </w:rPr>
              <w:t xml:space="preserve">Trabajo con el sector privado. </w:t>
            </w:r>
            <w:r>
              <w:t>Promove</w:t>
            </w:r>
            <w:r>
              <w:t>r alianzas con establecimientos comerciales, universidades, centros de eventos, conjuntos residenciales y cualquier otro actor particular</w:t>
            </w:r>
            <w:r>
              <w:rPr>
                <w:b/>
              </w:rPr>
              <w:t xml:space="preserve"> </w:t>
            </w:r>
            <w:r>
              <w:t>para el fortalecimiento de la estrategia y la optimización del trabajo del escuadrón ‘Anti-riñas.</w:t>
            </w:r>
          </w:p>
          <w:p w:rsidR="005E0E9E" w:rsidRDefault="005E0E9E">
            <w:pPr>
              <w:tabs>
                <w:tab w:val="left" w:pos="1321"/>
              </w:tabs>
              <w:jc w:val="both"/>
            </w:pPr>
          </w:p>
          <w:p w:rsidR="005E0E9E" w:rsidRDefault="007F523F">
            <w:pPr>
              <w:tabs>
                <w:tab w:val="left" w:pos="1321"/>
              </w:tabs>
              <w:jc w:val="both"/>
            </w:pPr>
            <w:r>
              <w:rPr>
                <w:b/>
              </w:rPr>
              <w:t xml:space="preserve">Parágrafo 1. </w:t>
            </w:r>
            <w:r>
              <w:t>El esc</w:t>
            </w:r>
            <w:r>
              <w:t>uadrón Anti-riñas estará conformado por funcionarios y servidores de las entidades distritales que tengan dentro de su misionalidad aspectos relacionados con los lineamientos dictados en este artículo, tales como la Secretaría de Seguridad, Convivencia y J</w:t>
            </w:r>
            <w:r>
              <w:t>usticia; la Secretaría de la Mujer; la Secretaría de Salud, La Secretaría de Integración Social y cualquier otra que se considere relevante.</w:t>
            </w:r>
          </w:p>
          <w:p w:rsidR="005E0E9E" w:rsidRDefault="005E0E9E">
            <w:pPr>
              <w:tabs>
                <w:tab w:val="left" w:pos="1321"/>
              </w:tabs>
              <w:jc w:val="both"/>
            </w:pPr>
          </w:p>
          <w:p w:rsidR="005E0E9E" w:rsidRDefault="005E0E9E">
            <w:pPr>
              <w:tabs>
                <w:tab w:val="left" w:pos="1321"/>
              </w:tabs>
              <w:jc w:val="both"/>
            </w:pPr>
          </w:p>
          <w:p w:rsidR="005E0E9E" w:rsidRDefault="007F523F">
            <w:pPr>
              <w:tabs>
                <w:tab w:val="left" w:pos="1321"/>
              </w:tabs>
              <w:jc w:val="both"/>
            </w:pPr>
            <w:r>
              <w:rPr>
                <w:b/>
              </w:rPr>
              <w:t xml:space="preserve">Parágrafo 2. </w:t>
            </w:r>
            <w:r>
              <w:t>Como parte de la misionalidad del Escuadrón Anti-Riñas, la Administración Distrital propenderá por la realización de jornadas de pedagogía y por proporcionar mecanismos alternativos de solución de conflictos en zonas dedicadas al consumo de licor entre las</w:t>
            </w:r>
            <w:r>
              <w:t xml:space="preserve"> 8:00 pm y las 3:00 am de jueves a domingo. </w:t>
            </w:r>
          </w:p>
          <w:p w:rsidR="005E0E9E" w:rsidRDefault="005E0E9E">
            <w:pPr>
              <w:tabs>
                <w:tab w:val="left" w:pos="1321"/>
              </w:tabs>
              <w:jc w:val="both"/>
            </w:pPr>
          </w:p>
          <w:p w:rsidR="005E0E9E" w:rsidRDefault="007F523F">
            <w:pPr>
              <w:tabs>
                <w:tab w:val="left" w:pos="1321"/>
              </w:tabs>
              <w:jc w:val="both"/>
            </w:pPr>
            <w:r>
              <w:t>El despliegue del Escuadrón se dará, prioritariamente, en zonas identificadas de alto consumo de licor, rumba, gastrobares, y/o lugares identificados como espacios de riñas en Bogotá, incluidos colegios y entor</w:t>
            </w:r>
            <w:r>
              <w:t>nos escolares.</w:t>
            </w:r>
          </w:p>
        </w:tc>
        <w:tc>
          <w:tcPr>
            <w:tcW w:w="0" w:type="auto"/>
          </w:tcPr>
          <w:p w:rsidR="005E0E9E" w:rsidRDefault="007F523F">
            <w:pPr>
              <w:spacing w:line="276" w:lineRule="auto"/>
              <w:jc w:val="both"/>
            </w:pPr>
            <w:r>
              <w:t>Como se señaló en las consideraciones sobre la ponencia en el numeral 6 del presente documento, la formulación a través de lineamientos blindará la iniciativa de controversias jurídicas sobre el límite de competencias del Concejo de Bogotá y</w:t>
            </w:r>
            <w:r>
              <w:t xml:space="preserve"> se establecerá una hoja de ruta para la ciudad con vocación de permanencia</w:t>
            </w:r>
          </w:p>
        </w:tc>
      </w:tr>
      <w:tr w:rsidR="005E0E9E">
        <w:tc>
          <w:tcPr>
            <w:tcW w:w="0" w:type="auto"/>
          </w:tcPr>
          <w:p w:rsidR="005E0E9E" w:rsidRDefault="007F523F">
            <w:pPr>
              <w:spacing w:line="276" w:lineRule="auto"/>
              <w:jc w:val="both"/>
            </w:pPr>
            <w:r>
              <w:rPr>
                <w:b/>
              </w:rPr>
              <w:t>ARTÍCULO TERCERO.</w:t>
            </w:r>
            <w:r>
              <w:t xml:space="preserve"> La Secretaría de Seguridad, Convivencia y Justicia, promoverá la creación de un curso sobre el manejo de conflictos y convivencia armónica en la ciudad de Bogotá</w:t>
            </w:r>
            <w:r>
              <w:t xml:space="preserve"> dedicado a los propietarios de todos los establecimientos dedicados a la venta y expendio de licor, empresas de vigilancia privada, funcionarios del Sistema Integrado de Transporte Público de la ciudad.</w:t>
            </w:r>
          </w:p>
          <w:p w:rsidR="005E0E9E" w:rsidRDefault="005E0E9E">
            <w:pPr>
              <w:spacing w:line="276" w:lineRule="auto"/>
              <w:jc w:val="both"/>
            </w:pPr>
          </w:p>
          <w:p w:rsidR="005E0E9E" w:rsidRDefault="007F523F">
            <w:pPr>
              <w:spacing w:line="276" w:lineRule="auto"/>
              <w:jc w:val="both"/>
            </w:pPr>
            <w:r>
              <w:rPr>
                <w:b/>
              </w:rPr>
              <w:t>Parágrafo.</w:t>
            </w:r>
            <w:r>
              <w:t xml:space="preserve"> El curso Anti-Riñas deberá estar articul</w:t>
            </w:r>
            <w:r>
              <w:t>ado con la MEBOG para la socialización del Código de Policía y se desarrollará en todas las localidades de Bogotá.</w:t>
            </w:r>
          </w:p>
        </w:tc>
        <w:tc>
          <w:tcPr>
            <w:tcW w:w="0" w:type="auto"/>
          </w:tcPr>
          <w:p w:rsidR="005E0E9E" w:rsidRDefault="007F523F">
            <w:pPr>
              <w:spacing w:line="276" w:lineRule="auto"/>
              <w:jc w:val="both"/>
            </w:pPr>
            <w:r>
              <w:rPr>
                <w:b/>
              </w:rPr>
              <w:t>ARTÍCULO TERCERO.</w:t>
            </w:r>
            <w:r>
              <w:t xml:space="preserve"> </w:t>
            </w:r>
            <w:r>
              <w:rPr>
                <w:b/>
              </w:rPr>
              <w:t xml:space="preserve">IMPLEMENTACIÓN DE UN CURSO SOBRE MANEJO DE CONFLICTOS. </w:t>
            </w:r>
            <w:r>
              <w:t>La Secretaría de Seguridad, Convivencia y Justicia, promoverá la cre</w:t>
            </w:r>
            <w:r>
              <w:t>ación de un curso, presencial o virtual, sobre el manejo de conflictos y convivencia armónica en la ciudad de Bogotá dedicado, especialmente, a los propietarios de establecimientos dedicados a la venta y expendio de licor, empresas de vigilancia privada, f</w:t>
            </w:r>
            <w:r>
              <w:t>uncionarios del Sistema Integrado de Transporte Público de la ciudad, profesores y profesoras de colegios públicos y privados, entre otros actores.</w:t>
            </w:r>
          </w:p>
          <w:p w:rsidR="005E0E9E" w:rsidRDefault="005E0E9E">
            <w:pPr>
              <w:spacing w:line="276" w:lineRule="auto"/>
              <w:jc w:val="both"/>
            </w:pPr>
          </w:p>
          <w:p w:rsidR="005E0E9E" w:rsidRDefault="007F523F">
            <w:pPr>
              <w:spacing w:line="276" w:lineRule="auto"/>
              <w:jc w:val="both"/>
            </w:pPr>
            <w:r>
              <w:rPr>
                <w:b/>
              </w:rPr>
              <w:t>Parágrafo.</w:t>
            </w:r>
            <w:r>
              <w:t xml:space="preserve"> La Administración Distrital buscará articulación con la Policía Metropolitana de Bogotá para inc</w:t>
            </w:r>
            <w:r>
              <w:t>luirla en el curso Anti-Riñas con el objetivo de socializar el Código de Policía.</w:t>
            </w:r>
          </w:p>
        </w:tc>
        <w:tc>
          <w:tcPr>
            <w:tcW w:w="0" w:type="auto"/>
          </w:tcPr>
          <w:p w:rsidR="005E0E9E" w:rsidRDefault="007F523F">
            <w:pPr>
              <w:spacing w:line="276" w:lineRule="auto"/>
              <w:jc w:val="both"/>
            </w:pPr>
            <w:r>
              <w:t>Se amplía el público objetivo del curso sobre manejo de conflicto y los mecanismos alternativos para su resolución, se integra la virtualidad para mayor eficiencia y alcance.</w:t>
            </w:r>
          </w:p>
        </w:tc>
      </w:tr>
      <w:tr w:rsidR="005E0E9E">
        <w:tc>
          <w:tcPr>
            <w:tcW w:w="0" w:type="auto"/>
          </w:tcPr>
          <w:p w:rsidR="005E0E9E" w:rsidRDefault="007F523F">
            <w:pPr>
              <w:jc w:val="both"/>
            </w:pPr>
            <w:r>
              <w:rPr>
                <w:b/>
              </w:rPr>
              <w:t>ARTÍCULO CUARTO.</w:t>
            </w:r>
            <w:r>
              <w:t xml:space="preserve">  La Administración Distrital, en cabeza de la Secretaría de Gobierno, propenderá por diseñar un sistema de incentivos para las localidades que reduzcan el número de riñas o conflictos en el territorio.</w:t>
            </w:r>
          </w:p>
          <w:p w:rsidR="005E0E9E" w:rsidRDefault="005E0E9E">
            <w:pPr>
              <w:jc w:val="both"/>
            </w:pPr>
          </w:p>
        </w:tc>
        <w:tc>
          <w:tcPr>
            <w:tcW w:w="0" w:type="auto"/>
          </w:tcPr>
          <w:p w:rsidR="005E0E9E" w:rsidRDefault="007F523F">
            <w:pPr>
              <w:jc w:val="both"/>
            </w:pPr>
            <w:r>
              <w:t>Se elimina este artículo</w:t>
            </w:r>
          </w:p>
        </w:tc>
        <w:tc>
          <w:tcPr>
            <w:tcW w:w="0" w:type="auto"/>
          </w:tcPr>
          <w:p w:rsidR="005E0E9E" w:rsidRDefault="005E0E9E">
            <w:pPr>
              <w:jc w:val="both"/>
              <w:rPr>
                <w:b/>
              </w:rPr>
            </w:pPr>
          </w:p>
        </w:tc>
      </w:tr>
      <w:tr w:rsidR="005E0E9E">
        <w:tc>
          <w:tcPr>
            <w:tcW w:w="0" w:type="auto"/>
          </w:tcPr>
          <w:p w:rsidR="005E0E9E" w:rsidRDefault="007F523F">
            <w:pPr>
              <w:jc w:val="both"/>
            </w:pPr>
            <w:r>
              <w:rPr>
                <w:b/>
              </w:rPr>
              <w:t>ARTÍCULO QUINTO</w:t>
            </w:r>
            <w:r>
              <w:t>: Implementación. El tiempo de implementación del presente acuerdo será de doce (12) meses a partir de su sanción.</w:t>
            </w:r>
          </w:p>
          <w:p w:rsidR="005E0E9E" w:rsidRDefault="005E0E9E">
            <w:pPr>
              <w:jc w:val="both"/>
            </w:pPr>
          </w:p>
          <w:p w:rsidR="005E0E9E" w:rsidRDefault="007F523F">
            <w:pPr>
              <w:jc w:val="both"/>
            </w:pPr>
            <w:r>
              <w:rPr>
                <w:b/>
              </w:rPr>
              <w:t>Parágrafo:</w:t>
            </w:r>
            <w:r>
              <w:t xml:space="preserve">  De acuerdo con lo anterior, la Secretaría de Seguridad, Convivencia y Justicia informará anualmente al Concejo de</w:t>
            </w:r>
            <w:r>
              <w:t xml:space="preserve"> Bogotá los avances del presente acuerdo.</w:t>
            </w:r>
          </w:p>
        </w:tc>
        <w:tc>
          <w:tcPr>
            <w:tcW w:w="0" w:type="auto"/>
          </w:tcPr>
          <w:p w:rsidR="005E0E9E" w:rsidRDefault="007F523F">
            <w:pPr>
              <w:jc w:val="both"/>
            </w:pPr>
            <w:r>
              <w:rPr>
                <w:b/>
              </w:rPr>
              <w:t>ARTÍCULO CUARTO</w:t>
            </w:r>
            <w:r>
              <w:t xml:space="preserve"> </w:t>
            </w:r>
            <w:r>
              <w:rPr>
                <w:b/>
              </w:rPr>
              <w:t>IMPLEMENTACIÓN.</w:t>
            </w:r>
            <w:r>
              <w:t xml:space="preserve"> El tiempo de implementación del presente acuerdo será de doce (12) meses a partir de su sanción.</w:t>
            </w:r>
          </w:p>
          <w:p w:rsidR="005E0E9E" w:rsidRDefault="005E0E9E">
            <w:pPr>
              <w:jc w:val="both"/>
            </w:pPr>
          </w:p>
          <w:p w:rsidR="005E0E9E" w:rsidRDefault="007F523F">
            <w:pPr>
              <w:jc w:val="both"/>
            </w:pPr>
            <w:r>
              <w:rPr>
                <w:b/>
              </w:rPr>
              <w:t>Parágrafo:</w:t>
            </w:r>
            <w:r>
              <w:t xml:space="preserve">  De acuerdo con lo anterior, la Secretaría de Seguridad, Convivencia y Justicia informará anualmente al Concejo de Bogotá los avances del presente acuerdo.</w:t>
            </w:r>
          </w:p>
        </w:tc>
        <w:tc>
          <w:tcPr>
            <w:tcW w:w="0" w:type="auto"/>
          </w:tcPr>
          <w:p w:rsidR="005E0E9E" w:rsidRDefault="007F523F">
            <w:pPr>
              <w:jc w:val="both"/>
            </w:pPr>
            <w:r>
              <w:t>No hay modificaciones en la redacción del artículo, solo se cambia la numeración del mismo por la e</w:t>
            </w:r>
            <w:r>
              <w:t>liminación del artículo anterior.</w:t>
            </w:r>
          </w:p>
        </w:tc>
      </w:tr>
      <w:tr w:rsidR="005E0E9E">
        <w:tc>
          <w:tcPr>
            <w:tcW w:w="0" w:type="auto"/>
          </w:tcPr>
          <w:p w:rsidR="005E0E9E" w:rsidRDefault="007F523F">
            <w:pPr>
              <w:jc w:val="both"/>
              <w:rPr>
                <w:b/>
              </w:rPr>
            </w:pPr>
            <w:r>
              <w:rPr>
                <w:b/>
              </w:rPr>
              <w:t>ARTÍCULO SEXTO:</w:t>
            </w:r>
            <w:r>
              <w:t xml:space="preserve"> El presente acuerdo rige a partir de su publicación y deroga todas las disposiciones contrarias.</w:t>
            </w:r>
          </w:p>
        </w:tc>
        <w:tc>
          <w:tcPr>
            <w:tcW w:w="0" w:type="auto"/>
          </w:tcPr>
          <w:p w:rsidR="005E0E9E" w:rsidRDefault="007F523F">
            <w:pPr>
              <w:jc w:val="both"/>
            </w:pPr>
            <w:r>
              <w:rPr>
                <w:b/>
              </w:rPr>
              <w:t>ARTÍCULO QUINTO. VIGENCIA:</w:t>
            </w:r>
            <w:r>
              <w:t xml:space="preserve"> El presente acuerdo rige a partir de su publicación y deroga todas las disposicio</w:t>
            </w:r>
            <w:r>
              <w:t>nes contrarias.</w:t>
            </w:r>
          </w:p>
        </w:tc>
        <w:tc>
          <w:tcPr>
            <w:tcW w:w="0" w:type="auto"/>
          </w:tcPr>
          <w:p w:rsidR="005E0E9E" w:rsidRDefault="007F523F">
            <w:pPr>
              <w:jc w:val="both"/>
            </w:pPr>
            <w:r>
              <w:t>No hay modificaciones en la redacción del artículo, solo se cambia la numeración del mismo por la eliminación del artículo anterior.</w:t>
            </w:r>
          </w:p>
        </w:tc>
      </w:tr>
    </w:tbl>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center"/>
        <w:rPr>
          <w:b/>
        </w:rPr>
      </w:pPr>
      <w:r>
        <w:rPr>
          <w:b/>
        </w:rPr>
        <w:t xml:space="preserve">8. TEXTO PROPUESTO PARA DEBATE CON MODIFICACIONES </w:t>
      </w:r>
    </w:p>
    <w:p w:rsidR="005E0E9E" w:rsidRDefault="005E0E9E">
      <w:pPr>
        <w:pBdr>
          <w:top w:val="nil"/>
          <w:left w:val="nil"/>
          <w:bottom w:val="nil"/>
          <w:right w:val="nil"/>
          <w:between w:val="nil"/>
        </w:pBdr>
        <w:spacing w:line="276" w:lineRule="auto"/>
        <w:jc w:val="center"/>
        <w:rPr>
          <w:b/>
        </w:rPr>
      </w:pPr>
    </w:p>
    <w:p w:rsidR="005E0E9E" w:rsidRDefault="007F523F">
      <w:pPr>
        <w:widowControl w:val="0"/>
        <w:spacing w:before="16" w:line="276" w:lineRule="auto"/>
        <w:jc w:val="center"/>
      </w:pPr>
      <w:r>
        <w:rPr>
          <w:b/>
        </w:rPr>
        <w:t>PROYECTO DE ACUERDO Nº 051 DE 2024</w:t>
      </w:r>
    </w:p>
    <w:p w:rsidR="005E0E9E" w:rsidRDefault="007F523F">
      <w:pPr>
        <w:pBdr>
          <w:top w:val="nil"/>
          <w:left w:val="nil"/>
          <w:bottom w:val="nil"/>
          <w:right w:val="nil"/>
          <w:between w:val="nil"/>
        </w:pBdr>
        <w:spacing w:line="276" w:lineRule="auto"/>
        <w:jc w:val="center"/>
        <w:rPr>
          <w:b/>
        </w:rPr>
      </w:pPr>
      <w:r>
        <w:rPr>
          <w:b/>
        </w:rPr>
        <w:t>“POR MEDIO DE CUAL SE DICTAN LINEAMIENTOS PARA LA FORMULACIÓN DE LA ESTRATEGIA DE REDUCCIÓN DE RIÑAS, PELEAS Y DISPUTAS VIOLENTAS EN LA CIUDAD DE BOGOTÁ D.C.”</w:t>
      </w:r>
    </w:p>
    <w:p w:rsidR="005E0E9E" w:rsidRDefault="005E0E9E">
      <w:pPr>
        <w:pBdr>
          <w:top w:val="nil"/>
          <w:left w:val="nil"/>
          <w:bottom w:val="nil"/>
          <w:right w:val="nil"/>
          <w:between w:val="nil"/>
        </w:pBdr>
        <w:spacing w:line="276" w:lineRule="auto"/>
        <w:jc w:val="both"/>
        <w:rPr>
          <w:b/>
        </w:rPr>
      </w:pPr>
    </w:p>
    <w:p w:rsidR="005E0E9E" w:rsidRDefault="007F523F">
      <w:pPr>
        <w:spacing w:after="160" w:line="259" w:lineRule="auto"/>
        <w:jc w:val="center"/>
        <w:rPr>
          <w:b/>
        </w:rPr>
      </w:pPr>
      <w:r>
        <w:rPr>
          <w:b/>
        </w:rPr>
        <w:t>EL CONCEJO DE BOGOTÁ D.C.,</w:t>
      </w:r>
    </w:p>
    <w:p w:rsidR="005E0E9E" w:rsidRDefault="007F523F">
      <w:pPr>
        <w:spacing w:after="160" w:line="259" w:lineRule="auto"/>
        <w:jc w:val="center"/>
        <w:rPr>
          <w:b/>
        </w:rPr>
      </w:pPr>
      <w:r>
        <w:rPr>
          <w:b/>
        </w:rPr>
        <w:t xml:space="preserve">En uso de sus facultades constitucionales y legales, en especial las </w:t>
      </w:r>
      <w:r>
        <w:rPr>
          <w:b/>
        </w:rPr>
        <w:t>conferidas por el numeral 1, 13 y 25 del artículo 12 del Decreto Ley 1421 de 1993</w:t>
      </w:r>
    </w:p>
    <w:p w:rsidR="005E0E9E" w:rsidRDefault="007F523F">
      <w:pPr>
        <w:spacing w:after="160" w:line="259" w:lineRule="auto"/>
        <w:jc w:val="center"/>
        <w:rPr>
          <w:b/>
        </w:rPr>
      </w:pPr>
      <w:r>
        <w:rPr>
          <w:b/>
        </w:rPr>
        <w:t>ACUERDA</w:t>
      </w:r>
    </w:p>
    <w:p w:rsidR="005E0E9E" w:rsidRDefault="007F523F">
      <w:pPr>
        <w:pBdr>
          <w:top w:val="nil"/>
          <w:left w:val="nil"/>
          <w:bottom w:val="nil"/>
          <w:right w:val="nil"/>
          <w:between w:val="nil"/>
        </w:pBdr>
        <w:spacing w:line="276" w:lineRule="auto"/>
        <w:jc w:val="both"/>
      </w:pPr>
      <w:r>
        <w:rPr>
          <w:b/>
        </w:rPr>
        <w:t xml:space="preserve">Artículo Primero. Objetivo:  </w:t>
      </w:r>
      <w:r>
        <w:t>Dictar los lineamientos para la implementación permanente de la estrategia ‘Anti-Riñas’ para reducir las peleas o enfrentamientos que deriven en casos de lesiones personales entre los ciudadanos de Bogotá D.C.</w:t>
      </w: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both"/>
      </w:pPr>
      <w:r>
        <w:rPr>
          <w:b/>
        </w:rPr>
        <w:t>ARTÍCULO SEGUNDO. LINEAMIENTOS:</w:t>
      </w:r>
      <w:r>
        <w:t xml:space="preserve">  La Administr</w:t>
      </w:r>
      <w:r>
        <w:t xml:space="preserve">ación Distrital deberá tener en cuenta los siguientes lineamientos para la implementación de la estrategia ‘Anti-Riñas’ para reducir las peleas o enfrentamientos que deriven en casos de lesiones personales en Bogotá: </w:t>
      </w:r>
    </w:p>
    <w:p w:rsidR="005E0E9E" w:rsidRDefault="005E0E9E">
      <w:pPr>
        <w:pBdr>
          <w:top w:val="nil"/>
          <w:left w:val="nil"/>
          <w:bottom w:val="nil"/>
          <w:right w:val="nil"/>
          <w:between w:val="nil"/>
        </w:pBdr>
        <w:spacing w:line="276" w:lineRule="auto"/>
        <w:jc w:val="both"/>
      </w:pPr>
    </w:p>
    <w:p w:rsidR="005E0E9E" w:rsidRDefault="007F523F">
      <w:pPr>
        <w:numPr>
          <w:ilvl w:val="0"/>
          <w:numId w:val="2"/>
        </w:numPr>
        <w:pBdr>
          <w:top w:val="nil"/>
          <w:left w:val="nil"/>
          <w:bottom w:val="nil"/>
          <w:right w:val="nil"/>
          <w:between w:val="nil"/>
        </w:pBdr>
        <w:spacing w:line="276" w:lineRule="auto"/>
        <w:jc w:val="both"/>
      </w:pPr>
      <w:r>
        <w:rPr>
          <w:b/>
        </w:rPr>
        <w:t>Escuadrón ‘Anti-riñas’.</w:t>
      </w:r>
      <w:r>
        <w:t xml:space="preserve"> Propender por</w:t>
      </w:r>
      <w:r>
        <w:t xml:space="preserve"> la creación de un Escuadrón ‘Anti-Riñas’ con el fin de promover la prevención y atención de episodios de violencia en la ciudad, especialmente aquellos relacionados con riñas y/o cualquier tipo de conducta violenta que derive en el delito de lesiones pers</w:t>
      </w:r>
      <w:r>
        <w:t>onales.</w:t>
      </w:r>
    </w:p>
    <w:p w:rsidR="005E0E9E" w:rsidRDefault="005E0E9E">
      <w:pPr>
        <w:pBdr>
          <w:top w:val="nil"/>
          <w:left w:val="nil"/>
          <w:bottom w:val="nil"/>
          <w:right w:val="nil"/>
          <w:between w:val="nil"/>
        </w:pBdr>
        <w:spacing w:line="276" w:lineRule="auto"/>
        <w:jc w:val="both"/>
      </w:pPr>
    </w:p>
    <w:p w:rsidR="005E0E9E" w:rsidRDefault="007F523F">
      <w:pPr>
        <w:numPr>
          <w:ilvl w:val="0"/>
          <w:numId w:val="2"/>
        </w:numPr>
        <w:pBdr>
          <w:top w:val="nil"/>
          <w:left w:val="nil"/>
          <w:bottom w:val="nil"/>
          <w:right w:val="nil"/>
          <w:between w:val="nil"/>
        </w:pBdr>
        <w:spacing w:line="276" w:lineRule="auto"/>
        <w:jc w:val="both"/>
      </w:pPr>
      <w:r>
        <w:rPr>
          <w:b/>
        </w:rPr>
        <w:t>Intersectorialidad.</w:t>
      </w:r>
      <w:r>
        <w:t xml:space="preserve"> Fomentar la articulación institucional para la implementación de la estrategia y la conformación del escuadrón ‘Anti-Riñas’, de tal forma que se puedan atender los distintos factores de violencia de acuerdo a la especialidad de</w:t>
      </w:r>
      <w:r>
        <w:t xml:space="preserve"> diversas entidades. La Administración Distrital gestionará la participación de la Policía Metropolitana de Bogotá en el despliegue territorial del escuadrón.</w:t>
      </w:r>
    </w:p>
    <w:p w:rsidR="005E0E9E" w:rsidRDefault="005E0E9E">
      <w:pPr>
        <w:pBdr>
          <w:top w:val="nil"/>
          <w:left w:val="nil"/>
          <w:bottom w:val="nil"/>
          <w:right w:val="nil"/>
          <w:between w:val="nil"/>
        </w:pBdr>
        <w:spacing w:line="276" w:lineRule="auto"/>
        <w:jc w:val="both"/>
      </w:pPr>
    </w:p>
    <w:p w:rsidR="005E0E9E" w:rsidRDefault="007F523F">
      <w:pPr>
        <w:numPr>
          <w:ilvl w:val="0"/>
          <w:numId w:val="2"/>
        </w:numPr>
        <w:pBdr>
          <w:top w:val="nil"/>
          <w:left w:val="nil"/>
          <w:bottom w:val="nil"/>
          <w:right w:val="nil"/>
          <w:between w:val="nil"/>
        </w:pBdr>
        <w:spacing w:line="276" w:lineRule="auto"/>
        <w:jc w:val="both"/>
      </w:pPr>
      <w:r>
        <w:rPr>
          <w:b/>
        </w:rPr>
        <w:t>Pedagogía para la prevención de la violencia.</w:t>
      </w:r>
      <w:r>
        <w:t xml:space="preserve"> Fortalecer las campañas pedagógicas y de prevenció</w:t>
      </w:r>
      <w:r>
        <w:t>n de las riñas, especialmente en lugares identificados como susceptibles para este tipo de comportamientos, tales como zonas de rumba y lugares donde se formen aglomeraciones.</w:t>
      </w:r>
    </w:p>
    <w:p w:rsidR="005E0E9E" w:rsidRDefault="005E0E9E">
      <w:pPr>
        <w:pBdr>
          <w:top w:val="nil"/>
          <w:left w:val="nil"/>
          <w:bottom w:val="nil"/>
          <w:right w:val="nil"/>
          <w:between w:val="nil"/>
        </w:pBdr>
        <w:spacing w:line="276" w:lineRule="auto"/>
        <w:jc w:val="both"/>
      </w:pPr>
    </w:p>
    <w:p w:rsidR="005E0E9E" w:rsidRDefault="007F523F">
      <w:pPr>
        <w:numPr>
          <w:ilvl w:val="0"/>
          <w:numId w:val="2"/>
        </w:numPr>
        <w:pBdr>
          <w:top w:val="nil"/>
          <w:left w:val="nil"/>
          <w:bottom w:val="nil"/>
          <w:right w:val="nil"/>
          <w:between w:val="nil"/>
        </w:pBdr>
        <w:spacing w:line="276" w:lineRule="auto"/>
        <w:jc w:val="both"/>
      </w:pPr>
      <w:r>
        <w:rPr>
          <w:b/>
        </w:rPr>
        <w:t>Enfoque de género.</w:t>
      </w:r>
      <w:r>
        <w:t xml:space="preserve"> Profundizar las campañas de pedagogía y prevención de las ri</w:t>
      </w:r>
      <w:r>
        <w:t>ñas y las lesiones personales contra las mujeres de la ciudad que, según las estadísticas, son las mayores víctimas de delitos como violencia intrafamiliar.</w:t>
      </w:r>
    </w:p>
    <w:p w:rsidR="005E0E9E" w:rsidRDefault="005E0E9E">
      <w:pPr>
        <w:pBdr>
          <w:top w:val="nil"/>
          <w:left w:val="nil"/>
          <w:bottom w:val="nil"/>
          <w:right w:val="nil"/>
          <w:between w:val="nil"/>
        </w:pBdr>
        <w:spacing w:line="276" w:lineRule="auto"/>
        <w:jc w:val="both"/>
      </w:pPr>
    </w:p>
    <w:p w:rsidR="005E0E9E" w:rsidRDefault="007F523F">
      <w:pPr>
        <w:numPr>
          <w:ilvl w:val="0"/>
          <w:numId w:val="2"/>
        </w:numPr>
        <w:pBdr>
          <w:top w:val="nil"/>
          <w:left w:val="nil"/>
          <w:bottom w:val="nil"/>
          <w:right w:val="nil"/>
          <w:between w:val="nil"/>
        </w:pBdr>
        <w:spacing w:line="276" w:lineRule="auto"/>
        <w:jc w:val="both"/>
      </w:pPr>
      <w:r>
        <w:rPr>
          <w:b/>
        </w:rPr>
        <w:t>Enfoque de salud mental.</w:t>
      </w:r>
      <w:r>
        <w:t xml:space="preserve"> Fortalecer el impacto y alcance de las estrategias de sensibilización en </w:t>
      </w:r>
      <w:r>
        <w:t>materia de salud mental como parte de la oferta del escuadrón ‘Anti-riñas’, incluyendo pedagogía referente a la importancia de prevenir el consumo problemáticos de alcohol y otras sustancias psicoactivas.</w:t>
      </w:r>
    </w:p>
    <w:p w:rsidR="005E0E9E" w:rsidRDefault="005E0E9E">
      <w:pPr>
        <w:pBdr>
          <w:top w:val="nil"/>
          <w:left w:val="nil"/>
          <w:bottom w:val="nil"/>
          <w:right w:val="nil"/>
          <w:between w:val="nil"/>
        </w:pBdr>
        <w:spacing w:line="276" w:lineRule="auto"/>
        <w:jc w:val="both"/>
      </w:pPr>
    </w:p>
    <w:p w:rsidR="005E0E9E" w:rsidRDefault="007F523F">
      <w:pPr>
        <w:numPr>
          <w:ilvl w:val="0"/>
          <w:numId w:val="2"/>
        </w:numPr>
        <w:pBdr>
          <w:top w:val="nil"/>
          <w:left w:val="nil"/>
          <w:bottom w:val="nil"/>
          <w:right w:val="nil"/>
          <w:between w:val="nil"/>
        </w:pBdr>
        <w:spacing w:line="276" w:lineRule="auto"/>
        <w:jc w:val="both"/>
      </w:pPr>
      <w:r>
        <w:rPr>
          <w:b/>
        </w:rPr>
        <w:t>Trabajo con el sector privado.</w:t>
      </w:r>
      <w:r>
        <w:t xml:space="preserve"> Promover alianzas c</w:t>
      </w:r>
      <w:r>
        <w:t>on establecimientos comerciales, universidades, centros de eventos, conjuntos residenciales y cualquier otro actor particular para el fortalecimiento de la estrategia y la optimización del trabajo del escuadrón ‘Anti-riñas.</w:t>
      </w: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both"/>
      </w:pPr>
      <w:r>
        <w:rPr>
          <w:b/>
        </w:rPr>
        <w:t>Parágrafo 1.</w:t>
      </w:r>
      <w:r>
        <w:t xml:space="preserve"> El escuadrón Anti-riñas estará conformado por funcionarios y servidores de las entidades distritales que tengan dentro de su misionalidad aspectos relacionados con los lineamientos dictados en este artículo, tales como la Secretaría de Seguridad, Conviven</w:t>
      </w:r>
      <w:r>
        <w:t>cia y Justicia; la Secretaría de la Mujer; la Secretaría de Salud, La Secretaría de Integración Social y cualquier otra que se considere relevante.</w:t>
      </w:r>
    </w:p>
    <w:p w:rsidR="005E0E9E" w:rsidRDefault="005E0E9E">
      <w:pPr>
        <w:pBdr>
          <w:top w:val="nil"/>
          <w:left w:val="nil"/>
          <w:bottom w:val="nil"/>
          <w:right w:val="nil"/>
          <w:between w:val="nil"/>
        </w:pBdr>
        <w:spacing w:line="276" w:lineRule="auto"/>
        <w:jc w:val="both"/>
      </w:pP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both"/>
      </w:pPr>
      <w:r>
        <w:rPr>
          <w:b/>
        </w:rPr>
        <w:t xml:space="preserve">Parágrafo 2.  </w:t>
      </w:r>
      <w:r>
        <w:t>Como parte de la misionalidad del Escuadrón Anti-Riñas, la Administración Distrital propende</w:t>
      </w:r>
      <w:r>
        <w:t xml:space="preserve">rá por la realización de jornadas de pedagogía y resolución de conflictos en zonas dedicadas al consumo de licor entre las 8:00 pm y las 3:00 am de jueves a domingo. </w:t>
      </w: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both"/>
      </w:pPr>
      <w:r>
        <w:t>El despliegue del Escuadrón se dará, prioritariamente, en zonas identificadas de alto co</w:t>
      </w:r>
      <w:r>
        <w:t>nsumo de licor, rumba, gastrobares, y/o lugares identificados como espacios de riñas en Bogotá, incluidos colegios y entornos escolares.</w:t>
      </w:r>
    </w:p>
    <w:p w:rsidR="005E0E9E" w:rsidRDefault="005E0E9E">
      <w:pPr>
        <w:pBdr>
          <w:top w:val="nil"/>
          <w:left w:val="nil"/>
          <w:bottom w:val="nil"/>
          <w:right w:val="nil"/>
          <w:between w:val="nil"/>
        </w:pBdr>
        <w:spacing w:line="276" w:lineRule="auto"/>
        <w:jc w:val="both"/>
        <w:rPr>
          <w:b/>
        </w:rPr>
      </w:pPr>
    </w:p>
    <w:p w:rsidR="005E0E9E" w:rsidRDefault="007F523F">
      <w:pPr>
        <w:pBdr>
          <w:top w:val="nil"/>
          <w:left w:val="nil"/>
          <w:bottom w:val="nil"/>
          <w:right w:val="nil"/>
          <w:between w:val="nil"/>
        </w:pBdr>
        <w:spacing w:line="276" w:lineRule="auto"/>
        <w:jc w:val="both"/>
      </w:pPr>
      <w:r>
        <w:rPr>
          <w:b/>
        </w:rPr>
        <w:t>ARTÍCULO TERCERO. IMPLEMENTACIÓN DE UN CURSO SOBRE MANEJO DE CONFLICTOS.</w:t>
      </w:r>
      <w:r>
        <w:t xml:space="preserve"> La Secretaría de Seguridad, Convivencia y Jus</w:t>
      </w:r>
      <w:r>
        <w:t>ticia, promoverá la creación de un curso, presencial o virtual, sobre el manejo de conflictos y convivencia armónica en la ciudad de Bogotá dedicado, especialmente, a los propietarios de establecimientos dedicados a la venta y expendio de licor, empresas d</w:t>
      </w:r>
      <w:r>
        <w:t>e vigilancia privada, funcionarios del Sistema Integrado de Transporte Público de la ciudad, profesores y profesoras de colegios públicos y privados, entre otros actores.</w:t>
      </w: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both"/>
      </w:pPr>
      <w:r>
        <w:rPr>
          <w:b/>
        </w:rPr>
        <w:t>Parágrafo.</w:t>
      </w:r>
      <w:r>
        <w:t xml:space="preserve"> La Administración Distrital buscará articulación con la Policía Metropoli</w:t>
      </w:r>
      <w:r>
        <w:t>tana de Bogotá para incluirla en el curso Anti-Riñas con el objetivo de socializar el Código de Policía.</w:t>
      </w:r>
    </w:p>
    <w:p w:rsidR="005E0E9E" w:rsidRDefault="005E0E9E">
      <w:pPr>
        <w:pBdr>
          <w:top w:val="nil"/>
          <w:left w:val="nil"/>
          <w:bottom w:val="nil"/>
          <w:right w:val="nil"/>
          <w:between w:val="nil"/>
        </w:pBdr>
        <w:spacing w:line="276" w:lineRule="auto"/>
        <w:jc w:val="both"/>
        <w:rPr>
          <w:b/>
        </w:rPr>
      </w:pPr>
    </w:p>
    <w:p w:rsidR="005E0E9E" w:rsidRDefault="007F523F">
      <w:pPr>
        <w:pBdr>
          <w:top w:val="nil"/>
          <w:left w:val="nil"/>
          <w:bottom w:val="nil"/>
          <w:right w:val="nil"/>
          <w:between w:val="nil"/>
        </w:pBdr>
        <w:spacing w:line="276" w:lineRule="auto"/>
        <w:jc w:val="both"/>
      </w:pPr>
      <w:r>
        <w:rPr>
          <w:b/>
        </w:rPr>
        <w:t xml:space="preserve">ARTÍCULO CUARTO. </w:t>
      </w:r>
      <w:r>
        <w:t xml:space="preserve"> </w:t>
      </w:r>
      <w:r>
        <w:rPr>
          <w:b/>
        </w:rPr>
        <w:t>IMPLEMENTACIÓN.</w:t>
      </w:r>
      <w:r>
        <w:t xml:space="preserve"> El tiempo de implementación del presente acuerdo será de doce (12) meses a partir de su sanción.</w:t>
      </w:r>
    </w:p>
    <w:p w:rsidR="005E0E9E" w:rsidRDefault="005E0E9E">
      <w:pPr>
        <w:pBdr>
          <w:top w:val="nil"/>
          <w:left w:val="nil"/>
          <w:bottom w:val="nil"/>
          <w:right w:val="nil"/>
          <w:between w:val="nil"/>
        </w:pBdr>
        <w:spacing w:line="276" w:lineRule="auto"/>
        <w:jc w:val="both"/>
      </w:pPr>
    </w:p>
    <w:p w:rsidR="005E0E9E" w:rsidRDefault="007F523F">
      <w:pPr>
        <w:pBdr>
          <w:top w:val="nil"/>
          <w:left w:val="nil"/>
          <w:bottom w:val="nil"/>
          <w:right w:val="nil"/>
          <w:between w:val="nil"/>
        </w:pBdr>
        <w:spacing w:line="276" w:lineRule="auto"/>
        <w:jc w:val="both"/>
      </w:pPr>
      <w:r>
        <w:rPr>
          <w:b/>
        </w:rPr>
        <w:t xml:space="preserve">Parágrafo: </w:t>
      </w:r>
      <w:r>
        <w:t xml:space="preserve"> De acu</w:t>
      </w:r>
      <w:r>
        <w:t>erdo con lo anterior, la Secretaría de Seguridad, Convivencia y Justicia informará anualmente al Concejo de Bogotá los avances del presente acuerdo.</w:t>
      </w:r>
    </w:p>
    <w:p w:rsidR="005E0E9E" w:rsidRDefault="005E0E9E">
      <w:pPr>
        <w:pBdr>
          <w:top w:val="nil"/>
          <w:left w:val="nil"/>
          <w:bottom w:val="nil"/>
          <w:right w:val="nil"/>
          <w:between w:val="nil"/>
        </w:pBdr>
        <w:spacing w:line="276" w:lineRule="auto"/>
        <w:jc w:val="both"/>
      </w:pPr>
    </w:p>
    <w:p w:rsidR="005E0E9E" w:rsidRDefault="007F523F">
      <w:pPr>
        <w:jc w:val="both"/>
      </w:pPr>
      <w:r>
        <w:rPr>
          <w:b/>
        </w:rPr>
        <w:t>ARTÍCULO QUINTO. VIGENCIA:</w:t>
      </w:r>
      <w:r>
        <w:t xml:space="preserve"> El presente acuerdo rige a partir de su publicación y deroga todas las disposic</w:t>
      </w:r>
      <w:r>
        <w:t>iones contrarias.</w:t>
      </w:r>
    </w:p>
    <w:p w:rsidR="005E0E9E" w:rsidRDefault="005E0E9E">
      <w:pPr>
        <w:pBdr>
          <w:top w:val="nil"/>
          <w:left w:val="nil"/>
          <w:bottom w:val="nil"/>
          <w:right w:val="nil"/>
          <w:between w:val="nil"/>
        </w:pBdr>
        <w:spacing w:line="276" w:lineRule="auto"/>
        <w:jc w:val="both"/>
        <w:rPr>
          <w:b/>
        </w:rPr>
      </w:pPr>
    </w:p>
    <w:p w:rsidR="005E0E9E" w:rsidRDefault="005E0E9E">
      <w:pPr>
        <w:pBdr>
          <w:top w:val="nil"/>
          <w:left w:val="nil"/>
          <w:bottom w:val="nil"/>
          <w:right w:val="nil"/>
          <w:between w:val="nil"/>
        </w:pBdr>
        <w:spacing w:line="276" w:lineRule="auto"/>
        <w:jc w:val="both"/>
        <w:rPr>
          <w:b/>
        </w:rPr>
      </w:pPr>
    </w:p>
    <w:p w:rsidR="005E0E9E" w:rsidRDefault="005E0E9E">
      <w:pPr>
        <w:pBdr>
          <w:top w:val="nil"/>
          <w:left w:val="nil"/>
          <w:bottom w:val="nil"/>
          <w:right w:val="nil"/>
          <w:between w:val="nil"/>
        </w:pBdr>
        <w:spacing w:line="276" w:lineRule="auto"/>
        <w:jc w:val="center"/>
        <w:rPr>
          <w:b/>
        </w:rPr>
      </w:pPr>
    </w:p>
    <w:p w:rsidR="005E0E9E" w:rsidRDefault="005E0E9E">
      <w:pPr>
        <w:pBdr>
          <w:top w:val="nil"/>
          <w:left w:val="nil"/>
          <w:bottom w:val="nil"/>
          <w:right w:val="nil"/>
          <w:between w:val="nil"/>
        </w:pBdr>
        <w:spacing w:line="276" w:lineRule="auto"/>
        <w:jc w:val="center"/>
        <w:rPr>
          <w:b/>
        </w:rPr>
      </w:pPr>
    </w:p>
    <w:p w:rsidR="005E0E9E" w:rsidRDefault="005E0E9E">
      <w:pPr>
        <w:pBdr>
          <w:top w:val="nil"/>
          <w:left w:val="nil"/>
          <w:bottom w:val="nil"/>
          <w:right w:val="nil"/>
          <w:between w:val="nil"/>
        </w:pBdr>
        <w:spacing w:line="276" w:lineRule="auto"/>
        <w:jc w:val="center"/>
        <w:rPr>
          <w:b/>
        </w:rPr>
      </w:pPr>
    </w:p>
    <w:p w:rsidR="005E0E9E" w:rsidRDefault="005E0E9E">
      <w:pPr>
        <w:pBdr>
          <w:top w:val="nil"/>
          <w:left w:val="nil"/>
          <w:bottom w:val="nil"/>
          <w:right w:val="nil"/>
          <w:between w:val="nil"/>
        </w:pBdr>
        <w:spacing w:line="276" w:lineRule="auto"/>
        <w:jc w:val="center"/>
        <w:rPr>
          <w:b/>
        </w:rPr>
      </w:pPr>
    </w:p>
    <w:p w:rsidR="005E0E9E" w:rsidRDefault="007F523F">
      <w:pPr>
        <w:pBdr>
          <w:top w:val="nil"/>
          <w:left w:val="nil"/>
          <w:bottom w:val="nil"/>
          <w:right w:val="nil"/>
          <w:between w:val="nil"/>
        </w:pBdr>
        <w:spacing w:line="276" w:lineRule="auto"/>
        <w:jc w:val="center"/>
        <w:rPr>
          <w:b/>
        </w:rPr>
      </w:pPr>
      <w:r>
        <w:rPr>
          <w:b/>
        </w:rPr>
        <w:t>9. CONCLUSIONES</w:t>
      </w:r>
    </w:p>
    <w:p w:rsidR="005E0E9E" w:rsidRDefault="005E0E9E">
      <w:pPr>
        <w:spacing w:line="276" w:lineRule="auto"/>
        <w:ind w:left="360"/>
        <w:jc w:val="both"/>
        <w:rPr>
          <w:color w:val="1F1F1F"/>
        </w:rPr>
      </w:pPr>
    </w:p>
    <w:p w:rsidR="005E0E9E" w:rsidRDefault="007F523F">
      <w:pPr>
        <w:spacing w:line="276" w:lineRule="auto"/>
        <w:ind w:left="360"/>
        <w:jc w:val="both"/>
        <w:rPr>
          <w:color w:val="1F1F1F"/>
        </w:rPr>
      </w:pPr>
      <w:r>
        <w:rPr>
          <w:color w:val="1F1F1F"/>
        </w:rPr>
        <w:t xml:space="preserve">Teniendo en cuenta lo mencionado en las consideraciones expresadas, nos permitimos rendir </w:t>
      </w:r>
      <w:r>
        <w:rPr>
          <w:b/>
          <w:i/>
          <w:color w:val="1F1F1F"/>
        </w:rPr>
        <w:t>“PONENCIA CONJUNTA POSITIVA CON MODIFICACIONES”</w:t>
      </w:r>
      <w:r>
        <w:rPr>
          <w:b/>
          <w:color w:val="1F1F1F"/>
        </w:rPr>
        <w:t xml:space="preserve"> </w:t>
      </w:r>
      <w:r>
        <w:rPr>
          <w:color w:val="1F1F1F"/>
        </w:rPr>
        <w:t xml:space="preserve">al Proyecto de Acuerdo No. 051 de 2025 </w:t>
      </w:r>
      <w:r>
        <w:rPr>
          <w:i/>
        </w:rPr>
        <w:t>.</w:t>
      </w:r>
    </w:p>
    <w:p w:rsidR="005E0E9E" w:rsidRDefault="005E0E9E"/>
    <w:p w:rsidR="005E0E9E" w:rsidRDefault="005E0E9E"/>
    <w:p w:rsidR="005E0E9E" w:rsidRDefault="007F523F">
      <w:pPr>
        <w:ind w:firstLine="360"/>
      </w:pPr>
      <w:r>
        <w:t>Cordialmente,</w:t>
      </w:r>
    </w:p>
    <w:p w:rsidR="005E0E9E" w:rsidRDefault="005E0E9E">
      <w:pPr>
        <w:jc w:val="center"/>
        <w:rPr>
          <w:sz w:val="22"/>
          <w:szCs w:val="22"/>
        </w:rPr>
      </w:pPr>
    </w:p>
    <w:p w:rsidR="005E0E9E" w:rsidRDefault="005E0E9E">
      <w:pPr>
        <w:jc w:val="center"/>
        <w:rPr>
          <w:sz w:val="22"/>
          <w:szCs w:val="22"/>
        </w:rPr>
      </w:pPr>
    </w:p>
    <w:p w:rsidR="005E0E9E" w:rsidRDefault="005E0E9E">
      <w:pPr>
        <w:tabs>
          <w:tab w:val="left" w:pos="2065"/>
        </w:tabs>
        <w:rPr>
          <w:sz w:val="22"/>
          <w:szCs w:val="22"/>
        </w:rPr>
      </w:pPr>
    </w:p>
    <w:p w:rsidR="005E0E9E" w:rsidRDefault="005E0E9E">
      <w:pPr>
        <w:jc w:val="center"/>
        <w:rPr>
          <w:sz w:val="22"/>
          <w:szCs w:val="22"/>
        </w:rPr>
      </w:pPr>
    </w:p>
    <w:p w:rsidR="005E0E9E" w:rsidRDefault="005E0E9E">
      <w:pPr>
        <w:jc w:val="center"/>
        <w:rPr>
          <w:sz w:val="22"/>
          <w:szCs w:val="22"/>
        </w:rPr>
      </w:pPr>
    </w:p>
    <w:p w:rsidR="005E0E9E" w:rsidRDefault="007F523F">
      <w:pPr>
        <w:ind w:left="426"/>
        <w:rPr>
          <w:b/>
          <w:sz w:val="22"/>
          <w:szCs w:val="22"/>
        </w:rPr>
      </w:pPr>
      <w:r>
        <w:rPr>
          <w:b/>
          <w:sz w:val="22"/>
          <w:szCs w:val="22"/>
        </w:rPr>
        <w:t xml:space="preserve">JULIÁN RODRÍGUEZ SASTOQUE </w:t>
      </w:r>
      <w:r>
        <w:rPr>
          <w:b/>
          <w:sz w:val="22"/>
          <w:szCs w:val="22"/>
        </w:rPr>
        <w:tab/>
      </w:r>
      <w:r>
        <w:rPr>
          <w:b/>
          <w:sz w:val="22"/>
          <w:szCs w:val="22"/>
        </w:rPr>
        <w:tab/>
        <w:t>ROCÍO DUSSÁN PÉREZ</w:t>
      </w:r>
    </w:p>
    <w:p w:rsidR="005E0E9E" w:rsidRDefault="007F523F">
      <w:pPr>
        <w:ind w:left="426"/>
        <w:rPr>
          <w:sz w:val="22"/>
          <w:szCs w:val="22"/>
        </w:rPr>
      </w:pPr>
      <w:r>
        <w:rPr>
          <w:sz w:val="22"/>
          <w:szCs w:val="22"/>
        </w:rPr>
        <w:t>Concejal de Bogotá</w:t>
      </w:r>
      <w:r>
        <w:rPr>
          <w:sz w:val="22"/>
          <w:szCs w:val="22"/>
        </w:rPr>
        <w:tab/>
      </w:r>
      <w:r>
        <w:rPr>
          <w:sz w:val="22"/>
          <w:szCs w:val="22"/>
        </w:rPr>
        <w:tab/>
      </w:r>
      <w:r>
        <w:rPr>
          <w:sz w:val="22"/>
          <w:szCs w:val="22"/>
        </w:rPr>
        <w:tab/>
      </w:r>
      <w:r>
        <w:rPr>
          <w:sz w:val="22"/>
          <w:szCs w:val="22"/>
        </w:rPr>
        <w:tab/>
        <w:t>Concejal de Bogotá</w:t>
      </w:r>
    </w:p>
    <w:p w:rsidR="005E0E9E" w:rsidRDefault="007F523F">
      <w:pPr>
        <w:ind w:left="426"/>
        <w:rPr>
          <w:sz w:val="22"/>
          <w:szCs w:val="22"/>
        </w:rPr>
      </w:pPr>
      <w:r>
        <w:rPr>
          <w:sz w:val="22"/>
          <w:szCs w:val="22"/>
        </w:rPr>
        <w:t>Coordinador ponente.</w:t>
      </w:r>
      <w:r>
        <w:rPr>
          <w:sz w:val="22"/>
          <w:szCs w:val="22"/>
        </w:rPr>
        <w:tab/>
      </w:r>
      <w:r>
        <w:rPr>
          <w:sz w:val="22"/>
          <w:szCs w:val="22"/>
        </w:rPr>
        <w:tab/>
      </w:r>
      <w:r>
        <w:rPr>
          <w:sz w:val="22"/>
          <w:szCs w:val="22"/>
        </w:rPr>
        <w:tab/>
      </w:r>
      <w:r>
        <w:rPr>
          <w:sz w:val="22"/>
          <w:szCs w:val="22"/>
        </w:rPr>
        <w:tab/>
        <w:t>Ponente.</w:t>
      </w:r>
    </w:p>
    <w:p w:rsidR="005E0E9E" w:rsidRDefault="005E0E9E">
      <w:pPr>
        <w:tabs>
          <w:tab w:val="left" w:pos="459"/>
        </w:tabs>
        <w:rPr>
          <w:sz w:val="22"/>
          <w:szCs w:val="22"/>
        </w:rPr>
      </w:pPr>
    </w:p>
    <w:p w:rsidR="005E0E9E" w:rsidRDefault="005E0E9E">
      <w:pPr>
        <w:tabs>
          <w:tab w:val="left" w:pos="459"/>
        </w:tabs>
        <w:rPr>
          <w:sz w:val="22"/>
          <w:szCs w:val="22"/>
        </w:rPr>
      </w:pPr>
    </w:p>
    <w:p w:rsidR="005E0E9E" w:rsidRDefault="005E0E9E">
      <w:pPr>
        <w:tabs>
          <w:tab w:val="left" w:pos="459"/>
        </w:tabs>
        <w:jc w:val="center"/>
        <w:rPr>
          <w:b/>
          <w:sz w:val="22"/>
          <w:szCs w:val="22"/>
        </w:rPr>
      </w:pPr>
    </w:p>
    <w:sectPr w:rsidR="005E0E9E">
      <w:headerReference w:type="default" r:id="rId13"/>
      <w:footerReference w:type="even" r:id="rId14"/>
      <w:footerReference w:type="default" r:id="rId15"/>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F523F">
      <w:r>
        <w:separator/>
      </w:r>
    </w:p>
  </w:endnote>
  <w:endnote w:type="continuationSeparator" w:id="0">
    <w:p w:rsidR="00000000" w:rsidRDefault="007F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Georgia">
    <w:panose1 w:val="02040502050405020303"/>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E9E" w:rsidRDefault="007F523F">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5E0E9E" w:rsidRDefault="005E0E9E">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E9E" w:rsidRDefault="005E0E9E">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F523F">
      <w:r>
        <w:separator/>
      </w:r>
    </w:p>
  </w:footnote>
  <w:footnote w:type="continuationSeparator" w:id="0">
    <w:p w:rsidR="00000000" w:rsidRDefault="007F523F">
      <w:r>
        <w:continuationSeparator/>
      </w:r>
    </w:p>
  </w:footnote>
  <w:footnote w:id="1">
    <w:p w:rsidR="005E0E9E" w:rsidRDefault="007F523F">
      <w:pPr>
        <w:rPr>
          <w:sz w:val="20"/>
          <w:szCs w:val="20"/>
        </w:rPr>
      </w:pPr>
      <w:r>
        <w:rPr>
          <w:rStyle w:val="Refdenotaalpie"/>
        </w:rPr>
        <w:footnoteRef/>
      </w:r>
      <w:r>
        <w:rPr>
          <w:sz w:val="20"/>
          <w:szCs w:val="20"/>
        </w:rPr>
        <w:t>Estas fueron las capitales más inseguras de Colombia en 2024, según la Red de Ciudades</w:t>
      </w:r>
      <w:hyperlink r:id="rId1">
        <w:r>
          <w:rPr>
            <w:color w:val="1155CC"/>
            <w:sz w:val="20"/>
            <w:szCs w:val="20"/>
            <w:u w:val="single"/>
          </w:rPr>
          <w:t>https://www.infobae.com/colombia/2025/01/16/bogota-y-cali-fueron-calificadas-como-las-ciuda</w:t>
        </w:r>
        <w:r>
          <w:rPr>
            <w:color w:val="1155CC"/>
            <w:sz w:val="20"/>
            <w:szCs w:val="20"/>
            <w:u w:val="single"/>
          </w:rPr>
          <w:t>des-mas-inseguras-del-pais-en-2024-segun-revelo-informe/</w:t>
        </w:r>
      </w:hyperlink>
      <w:r>
        <w:rPr>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E9E" w:rsidRDefault="005E0E9E">
    <w:pPr>
      <w:widowControl w:val="0"/>
      <w:pBdr>
        <w:top w:val="nil"/>
        <w:left w:val="nil"/>
        <w:bottom w:val="nil"/>
        <w:right w:val="nil"/>
        <w:between w:val="nil"/>
      </w:pBdr>
      <w:spacing w:line="276" w:lineRule="auto"/>
      <w:rPr>
        <w:sz w:val="20"/>
        <w:szCs w:val="20"/>
      </w:rPr>
    </w:pPr>
  </w:p>
  <w:tbl>
    <w:tblPr>
      <w:tblStyle w:val="a5"/>
      <w:tblW w:w="8830" w:type="dxa"/>
      <w:tblLayout w:type="fixed"/>
      <w:tblLook w:val="0000" w:firstRow="0" w:lastRow="0" w:firstColumn="0" w:lastColumn="0" w:noHBand="0" w:noVBand="0"/>
    </w:tblPr>
    <w:tblGrid>
      <w:gridCol w:w="2361"/>
      <w:gridCol w:w="4235"/>
      <w:gridCol w:w="2234"/>
    </w:tblGrid>
    <w:tr w:rsidR="005E0E9E">
      <w:trPr>
        <w:trHeight w:val="454"/>
      </w:trPr>
      <w:tc>
        <w:tcPr>
          <w:tcW w:w="2361" w:type="dxa"/>
          <w:vMerge w:val="restart"/>
          <w:tcBorders>
            <w:top w:val="single" w:sz="4" w:space="0" w:color="000000"/>
            <w:left w:val="single" w:sz="4" w:space="0" w:color="000000"/>
            <w:right w:val="single" w:sz="4" w:space="0" w:color="000000"/>
          </w:tcBorders>
          <w:vAlign w:val="center"/>
        </w:tcPr>
        <w:p w:rsidR="005E0E9E" w:rsidRDefault="005E0E9E">
          <w:pPr>
            <w:jc w:val="center"/>
            <w:rPr>
              <w:sz w:val="16"/>
              <w:szCs w:val="16"/>
            </w:rPr>
          </w:pPr>
        </w:p>
      </w:tc>
      <w:tc>
        <w:tcPr>
          <w:tcW w:w="4235" w:type="dxa"/>
          <w:tcBorders>
            <w:top w:val="single" w:sz="4" w:space="0" w:color="000000"/>
            <w:left w:val="nil"/>
            <w:bottom w:val="single" w:sz="8" w:space="0" w:color="000000"/>
            <w:right w:val="single" w:sz="4" w:space="0" w:color="000000"/>
          </w:tcBorders>
          <w:vAlign w:val="center"/>
        </w:tcPr>
        <w:p w:rsidR="005E0E9E" w:rsidRDefault="007F523F">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5E0E9E" w:rsidRDefault="007F523F">
          <w:pPr>
            <w:rPr>
              <w:sz w:val="16"/>
              <w:szCs w:val="16"/>
            </w:rPr>
          </w:pPr>
          <w:r>
            <w:rPr>
              <w:sz w:val="16"/>
              <w:szCs w:val="16"/>
            </w:rPr>
            <w:t>CÓDIGO</w:t>
          </w:r>
          <w:r>
            <w:rPr>
              <w:color w:val="3366FF"/>
              <w:sz w:val="16"/>
              <w:szCs w:val="16"/>
            </w:rPr>
            <w:t xml:space="preserve">: </w:t>
          </w:r>
          <w:r>
            <w:rPr>
              <w:sz w:val="16"/>
              <w:szCs w:val="16"/>
            </w:rPr>
            <w:t>GNV-FO-003</w:t>
          </w:r>
        </w:p>
      </w:tc>
    </w:tr>
    <w:tr w:rsidR="005E0E9E">
      <w:trPr>
        <w:trHeight w:val="454"/>
      </w:trPr>
      <w:tc>
        <w:tcPr>
          <w:tcW w:w="2361" w:type="dxa"/>
          <w:vMerge/>
          <w:tcBorders>
            <w:top w:val="single" w:sz="4" w:space="0" w:color="000000"/>
            <w:left w:val="single" w:sz="4" w:space="0" w:color="000000"/>
            <w:right w:val="single" w:sz="8" w:space="0" w:color="000000"/>
          </w:tcBorders>
          <w:vAlign w:val="center"/>
        </w:tcPr>
        <w:p w:rsidR="005E0E9E" w:rsidRDefault="005E0E9E">
          <w:pPr>
            <w:widowControl w:val="0"/>
            <w:pBdr>
              <w:top w:val="nil"/>
              <w:left w:val="nil"/>
              <w:bottom w:val="nil"/>
              <w:right w:val="nil"/>
              <w:between w:val="nil"/>
            </w:pBdr>
            <w:spacing w:line="276" w:lineRule="auto"/>
            <w:rPr>
              <w:sz w:val="16"/>
              <w:szCs w:val="16"/>
            </w:rPr>
          </w:pPr>
        </w:p>
      </w:tc>
      <w:tc>
        <w:tcPr>
          <w:tcW w:w="4235" w:type="dxa"/>
          <w:vMerge w:val="restart"/>
          <w:tcBorders>
            <w:top w:val="single" w:sz="8" w:space="0" w:color="000000"/>
            <w:left w:val="single" w:sz="8" w:space="0" w:color="000000"/>
            <w:bottom w:val="single" w:sz="8" w:space="0" w:color="000000"/>
            <w:right w:val="single" w:sz="8" w:space="0" w:color="000000"/>
          </w:tcBorders>
          <w:vAlign w:val="center"/>
        </w:tcPr>
        <w:p w:rsidR="005E0E9E" w:rsidRDefault="007F523F">
          <w:pPr>
            <w:jc w:val="center"/>
            <w:rPr>
              <w:sz w:val="20"/>
              <w:szCs w:val="20"/>
            </w:rPr>
          </w:pPr>
          <w:r>
            <w:rPr>
              <w:sz w:val="20"/>
              <w:szCs w:val="20"/>
            </w:rPr>
            <w:t>PRESENTACIÓN PONENCIAS</w:t>
          </w:r>
        </w:p>
      </w:tc>
      <w:tc>
        <w:tcPr>
          <w:tcW w:w="2234" w:type="dxa"/>
          <w:tcBorders>
            <w:top w:val="single" w:sz="4" w:space="0" w:color="000000"/>
            <w:left w:val="single" w:sz="8" w:space="0" w:color="000000"/>
            <w:bottom w:val="single" w:sz="4" w:space="0" w:color="000000"/>
            <w:right w:val="single" w:sz="4" w:space="0" w:color="000000"/>
          </w:tcBorders>
          <w:vAlign w:val="center"/>
        </w:tcPr>
        <w:p w:rsidR="005E0E9E" w:rsidRDefault="007F523F">
          <w:pPr>
            <w:rPr>
              <w:sz w:val="16"/>
              <w:szCs w:val="16"/>
            </w:rPr>
          </w:pPr>
          <w:r>
            <w:rPr>
              <w:sz w:val="16"/>
              <w:szCs w:val="16"/>
            </w:rPr>
            <w:t>VERSIÓN:    01</w:t>
          </w:r>
        </w:p>
      </w:tc>
    </w:tr>
    <w:tr w:rsidR="005E0E9E">
      <w:trPr>
        <w:trHeight w:val="454"/>
      </w:trPr>
      <w:tc>
        <w:tcPr>
          <w:tcW w:w="2361" w:type="dxa"/>
          <w:vMerge/>
          <w:tcBorders>
            <w:top w:val="single" w:sz="4" w:space="0" w:color="000000"/>
            <w:left w:val="single" w:sz="4" w:space="0" w:color="000000"/>
            <w:bottom w:val="single" w:sz="8" w:space="0" w:color="000000"/>
            <w:right w:val="single" w:sz="8" w:space="0" w:color="000000"/>
          </w:tcBorders>
          <w:vAlign w:val="center"/>
        </w:tcPr>
        <w:p w:rsidR="005E0E9E" w:rsidRDefault="005E0E9E">
          <w:pPr>
            <w:widowControl w:val="0"/>
            <w:pBdr>
              <w:top w:val="nil"/>
              <w:left w:val="nil"/>
              <w:bottom w:val="nil"/>
              <w:right w:val="nil"/>
              <w:between w:val="nil"/>
            </w:pBdr>
            <w:spacing w:line="276" w:lineRule="auto"/>
            <w:rPr>
              <w:sz w:val="16"/>
              <w:szCs w:val="16"/>
            </w:rPr>
          </w:pPr>
        </w:p>
      </w:tc>
      <w:tc>
        <w:tcPr>
          <w:tcW w:w="4235" w:type="dxa"/>
          <w:vMerge/>
          <w:tcBorders>
            <w:top w:val="single" w:sz="8" w:space="0" w:color="000000"/>
            <w:left w:val="single" w:sz="8" w:space="0" w:color="000000"/>
            <w:bottom w:val="single" w:sz="8" w:space="0" w:color="000000"/>
            <w:right w:val="single" w:sz="8" w:space="0" w:color="000000"/>
          </w:tcBorders>
          <w:vAlign w:val="center"/>
        </w:tcPr>
        <w:p w:rsidR="005E0E9E" w:rsidRDefault="005E0E9E">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single" w:sz="8" w:space="0" w:color="000000"/>
            <w:bottom w:val="single" w:sz="4" w:space="0" w:color="000000"/>
            <w:right w:val="single" w:sz="4" w:space="0" w:color="000000"/>
          </w:tcBorders>
          <w:vAlign w:val="center"/>
        </w:tcPr>
        <w:p w:rsidR="005E0E9E" w:rsidRDefault="007F523F">
          <w:pPr>
            <w:rPr>
              <w:sz w:val="16"/>
              <w:szCs w:val="16"/>
            </w:rPr>
          </w:pPr>
          <w:r>
            <w:rPr>
              <w:sz w:val="16"/>
              <w:szCs w:val="16"/>
            </w:rPr>
            <w:t>FECHA: 14-Nov-2019</w:t>
          </w:r>
        </w:p>
      </w:tc>
    </w:tr>
  </w:tbl>
  <w:p w:rsidR="005E0E9E" w:rsidRDefault="007F523F">
    <w:pPr>
      <w:pBdr>
        <w:top w:val="nil"/>
        <w:left w:val="nil"/>
        <w:bottom w:val="nil"/>
        <w:right w:val="nil"/>
        <w:between w:val="nil"/>
      </w:pBdr>
      <w:tabs>
        <w:tab w:val="center" w:pos="4252"/>
        <w:tab w:val="right" w:pos="8504"/>
      </w:tabs>
    </w:pPr>
    <w:r>
      <w:rPr>
        <w:noProof/>
        <w:lang w:val="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-895346</wp:posOffset>
          </wp:positionV>
          <wp:extent cx="752475" cy="885825"/>
          <wp:effectExtent l="0" t="0" r="0" b="0"/>
          <wp:wrapNone/>
          <wp:docPr id="1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41FE0"/>
    <w:multiLevelType w:val="multilevel"/>
    <w:tmpl w:val="3E546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680285"/>
    <w:multiLevelType w:val="multilevel"/>
    <w:tmpl w:val="A134D4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333B284D"/>
    <w:multiLevelType w:val="multilevel"/>
    <w:tmpl w:val="B28E66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569B3E0A"/>
    <w:multiLevelType w:val="multilevel"/>
    <w:tmpl w:val="A336CC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18E1D94"/>
    <w:multiLevelType w:val="multilevel"/>
    <w:tmpl w:val="DB561F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1C26D66"/>
    <w:multiLevelType w:val="multilevel"/>
    <w:tmpl w:val="48DC7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E9E"/>
    <w:rsid w:val="005E0E9E"/>
    <w:rsid w:val="007F523F"/>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89F0FF-DFAF-4F96-9175-7D0419C8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E96669"/>
    <w:rPr>
      <w:sz w:val="20"/>
      <w:szCs w:val="20"/>
    </w:rPr>
  </w:style>
  <w:style w:type="character" w:customStyle="1" w:styleId="TextonotaalfinalCar">
    <w:name w:val="Texto nota al final Car"/>
    <w:basedOn w:val="Fuentedeprrafopredeter"/>
    <w:link w:val="Textonotaalfinal"/>
    <w:uiPriority w:val="99"/>
    <w:semiHidden/>
    <w:rsid w:val="00E96669"/>
    <w:rPr>
      <w:color w:val="000000"/>
      <w:sz w:val="20"/>
      <w:szCs w:val="20"/>
    </w:rPr>
  </w:style>
  <w:style w:type="character" w:styleId="Refdenotaalfinal">
    <w:name w:val="endnote reference"/>
    <w:basedOn w:val="Fuentedeprrafopredeter"/>
    <w:uiPriority w:val="99"/>
    <w:semiHidden/>
    <w:unhideWhenUsed/>
    <w:rsid w:val="00E96669"/>
    <w:rPr>
      <w:vertAlign w:val="superscript"/>
    </w:rPr>
  </w:style>
  <w:style w:type="paragraph" w:styleId="Textonotapie">
    <w:name w:val="footnote text"/>
    <w:basedOn w:val="Normal"/>
    <w:link w:val="TextonotapieCar"/>
    <w:uiPriority w:val="99"/>
    <w:semiHidden/>
    <w:unhideWhenUsed/>
    <w:rsid w:val="00E96669"/>
    <w:rPr>
      <w:sz w:val="20"/>
      <w:szCs w:val="20"/>
    </w:rPr>
  </w:style>
  <w:style w:type="character" w:customStyle="1" w:styleId="TextonotapieCar">
    <w:name w:val="Texto nota pie Car"/>
    <w:basedOn w:val="Fuentedeprrafopredeter"/>
    <w:link w:val="Textonotapie"/>
    <w:uiPriority w:val="99"/>
    <w:semiHidden/>
    <w:rsid w:val="00E96669"/>
    <w:rPr>
      <w:color w:val="000000"/>
      <w:sz w:val="20"/>
      <w:szCs w:val="20"/>
    </w:rPr>
  </w:style>
  <w:style w:type="character" w:styleId="Refdenotaalpie">
    <w:name w:val="footnote reference"/>
    <w:basedOn w:val="Fuentedeprrafopredeter"/>
    <w:uiPriority w:val="99"/>
    <w:semiHidden/>
    <w:unhideWhenUsed/>
    <w:rsid w:val="00E96669"/>
    <w:rPr>
      <w:vertAlign w:val="superscript"/>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anormal"/>
    <w:tblPr>
      <w:tblStyleRowBandSize w:val="1"/>
      <w:tblStyleColBandSize w:val="1"/>
    </w:tblPr>
  </w:style>
  <w:style w:type="table" w:customStyle="1" w:styleId="a4">
    <w:basedOn w:val="Tablanormal"/>
    <w:tblPr>
      <w:tblStyleRowBandSize w:val="1"/>
      <w:tblStyleColBandSize w:val="1"/>
    </w:tblPr>
  </w:style>
  <w:style w:type="table" w:customStyle="1" w:styleId="a5">
    <w:basedOn w:val="Tabla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bae.com/colombia/2025/01/16/bogota-y-cali-fueron-calificadas-como-las-ciudades-mas-inseguras-del-pais-en-2024-segun-revelo-infor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kpa2tnUMhxi8juQCA/DZlnLoxg==">CgMxLjAyCGguZ2pkZ3hzMgloLjFmb2I5dGU4AGouChNzdWdnZXN0Ljk5OTNxejVuZTk1EhdEQVZJRCBGRUxJUEUgRElBWiBCQVJPTnIhMXNmTk5UYU9mNDZ4a1dhWlJfRjRfLUdyZ1VnY045aXRo</go:docsCustomData>
</go:gDocsCustomXmlDataStorage>
</file>

<file path=customXml/item2.xml><?xml version="1.0" encoding="utf-8"?>
<b:Sources xmlns:b="http://schemas.openxmlformats.org/officeDocument/2006/bibliography" StyleName="MLA" SelectedStyle="/MLASeventhEditionOfficeOnline.xsl" Version="7">
  <b:Source>
    <b:Tag>source1</b:Tag>
    <b:SourceType>DocumentFromInternetSite</b:SourceType>
    <b:Day>16</b:Day>
    <b:DayAccessed>29</b:DayAccessed>
    <b:Month>January</b:Month>
    <b:MonthAccessed>January</b:MonthAccessed>
    <b:Title>Estas fueron las capitales más inseguras de Colombia en 2024, según la Red de Ciudades</b:Title>
    <b:URL>https://www.infobae.com/colombia/2025/01/16/bogota-y-cali-fueron-calificadas-como-las-ciudades-mas-inseguras-del-pais-en-2024-segun-revelo-informe/</b:URL>
    <b:InternetSiteTitle>Infobae</b:InternetSiteTitle>
    <b:Year>2025</b:Year>
    <b:YearAccessed>2025</b:YearAccessed>
    <b:Gdcea>{"AccessedType":"Website"}</b:Gdcea>
  </b:Source>
</b:Sourc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0EB7730-2870-4E05-9619-A90E11A6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4520</Words>
  <Characters>24861</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2</cp:revision>
  <dcterms:created xsi:type="dcterms:W3CDTF">2025-05-29T15:12:00Z</dcterms:created>
  <dcterms:modified xsi:type="dcterms:W3CDTF">2025-05-29T15:12:00Z</dcterms:modified>
</cp:coreProperties>
</file>